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92" w:rsidRDefault="00C17F13" w:rsidP="00C17F13">
      <w:pPr>
        <w:jc w:val="right"/>
      </w:pPr>
      <w:bookmarkStart w:id="0" w:name="_GoBack"/>
      <w:bookmarkEnd w:id="0"/>
      <w:r>
        <w:rPr>
          <w:b/>
          <w:i/>
          <w:noProof/>
          <w:color w:val="4F81BD" w:themeColor="accent1"/>
          <w:sz w:val="36"/>
          <w:szCs w:val="36"/>
          <w:lang w:eastAsia="fr-FR"/>
        </w:rPr>
        <w:drawing>
          <wp:inline distT="0" distB="0" distL="0" distR="0" wp14:anchorId="602EB455" wp14:editId="7AC903C8">
            <wp:extent cx="1368000" cy="1368000"/>
            <wp:effectExtent l="0" t="0" r="3810" b="3810"/>
            <wp:docPr id="2" name="Image 2" descr="C:\FNOGEC\Donnees\2_Politique sociale\1 ACCORDS ET CONVENTIONS\LABELS EEP\EEP-HD\EEPformation\Formation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NOGEC\Donnees\2_Politique sociale\1 ACCORDS ET CONVENTIONS\LABELS EEP\EEP-HD\EEPformation\FormationVec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p>
    <w:p w:rsidR="00DD6E92" w:rsidRDefault="00DD6E92" w:rsidP="007B4126"/>
    <w:p w:rsidR="00E73E20" w:rsidRDefault="00E73E20" w:rsidP="007B4126"/>
    <w:p w:rsidR="00E73E20" w:rsidRDefault="00E73E20" w:rsidP="007B4126"/>
    <w:p w:rsidR="00E73E20" w:rsidRDefault="00E73E20" w:rsidP="007B4126"/>
    <w:p w:rsidR="00E73E20" w:rsidRDefault="00E73E20" w:rsidP="007B4126"/>
    <w:p w:rsidR="00AA5903" w:rsidRPr="00C17F13" w:rsidRDefault="00DD6E92" w:rsidP="00AA5903">
      <w:pPr>
        <w:jc w:val="center"/>
        <w:rPr>
          <w:b/>
          <w:color w:val="92CDDC" w:themeColor="accent5" w:themeTint="99"/>
          <w:sz w:val="60"/>
          <w:szCs w:val="60"/>
        </w:rPr>
      </w:pPr>
      <w:r w:rsidRPr="00C17F13">
        <w:rPr>
          <w:b/>
          <w:color w:val="92CDDC" w:themeColor="accent5" w:themeTint="99"/>
          <w:sz w:val="60"/>
          <w:szCs w:val="60"/>
        </w:rPr>
        <w:t xml:space="preserve">Accord </w:t>
      </w:r>
      <w:r w:rsidR="00AA5903" w:rsidRPr="00C17F13">
        <w:rPr>
          <w:b/>
          <w:color w:val="92CDDC" w:themeColor="accent5" w:themeTint="99"/>
          <w:sz w:val="60"/>
          <w:szCs w:val="60"/>
        </w:rPr>
        <w:t xml:space="preserve">Interbranches </w:t>
      </w:r>
      <w:r w:rsidR="00AA5903" w:rsidRPr="00C17F13">
        <w:rPr>
          <w:b/>
          <w:color w:val="92CDDC" w:themeColor="accent5" w:themeTint="99"/>
          <w:sz w:val="60"/>
          <w:szCs w:val="60"/>
        </w:rPr>
        <w:br/>
        <w:t>sur l’emploi et la formation professionnelle dans les Etablissements d’Enseignement Privés</w:t>
      </w:r>
    </w:p>
    <w:p w:rsidR="00DD6E92" w:rsidRPr="007B4126" w:rsidRDefault="00DD6E92" w:rsidP="007B4126">
      <w:pPr>
        <w:jc w:val="center"/>
        <w:rPr>
          <w:b/>
          <w:color w:val="4F81BD" w:themeColor="accent1"/>
          <w:sz w:val="36"/>
          <w:szCs w:val="36"/>
        </w:rPr>
      </w:pPr>
    </w:p>
    <w:p w:rsidR="00DD6E92" w:rsidRDefault="00DD6E92">
      <w:pPr>
        <w:spacing w:line="276" w:lineRule="auto"/>
        <w:jc w:val="left"/>
      </w:pPr>
      <w:r>
        <w:br w:type="page"/>
      </w:r>
    </w:p>
    <w:p w:rsidR="00827192" w:rsidRDefault="00827192" w:rsidP="007B4126">
      <w:pPr>
        <w:spacing w:line="276" w:lineRule="auto"/>
        <w:jc w:val="left"/>
      </w:pPr>
    </w:p>
    <w:sdt>
      <w:sdtPr>
        <w:rPr>
          <w:rFonts w:asciiTheme="minorHAnsi" w:eastAsia="Cambria" w:hAnsiTheme="minorHAnsi" w:cs="Times New Roman"/>
          <w:b w:val="0"/>
          <w:bCs w:val="0"/>
          <w:color w:val="000000"/>
          <w:sz w:val="22"/>
          <w:szCs w:val="24"/>
          <w:lang w:eastAsia="en-US"/>
          <w14:textFill>
            <w14:solidFill>
              <w14:srgbClr w14:val="000000">
                <w14:lumMod w14:val="60000"/>
                <w14:lumOff w14:val="40000"/>
              </w14:srgbClr>
            </w14:solidFill>
          </w14:textFill>
        </w:rPr>
        <w:id w:val="384606073"/>
        <w:docPartObj>
          <w:docPartGallery w:val="Table of Contents"/>
          <w:docPartUnique/>
        </w:docPartObj>
      </w:sdtPr>
      <w:sdtEndPr/>
      <w:sdtContent>
        <w:p w:rsidR="00316AA2" w:rsidRPr="00C17F13" w:rsidRDefault="00316AA2" w:rsidP="00C17F13">
          <w:pPr>
            <w:pStyle w:val="En-ttedetabledesmatires"/>
          </w:pPr>
          <w:r w:rsidRPr="00C17F13">
            <w:rPr>
              <w:rFonts w:asciiTheme="minorHAnsi" w:hAnsiTheme="minorHAnsi" w:cstheme="minorHAnsi"/>
              <w:color w:val="4BACC6" w:themeColor="accent5"/>
              <w14:textFill>
                <w14:solidFill>
                  <w14:schemeClr w14:val="accent5">
                    <w14:lumMod w14:val="60000"/>
                    <w14:lumOff w14:val="40000"/>
                    <w14:lumMod w14:val="75000"/>
                    <w14:lumMod w14:val="60000"/>
                    <w14:lumOff w14:val="40000"/>
                  </w14:schemeClr>
                </w14:solidFill>
              </w14:textFill>
            </w:rPr>
            <w:t>Table des matières</w:t>
          </w:r>
        </w:p>
        <w:p w:rsidR="00DF0F94" w:rsidRDefault="00316AA2">
          <w:pPr>
            <w:pStyle w:val="TM1"/>
            <w:tabs>
              <w:tab w:val="left" w:pos="1320"/>
              <w:tab w:val="right" w:leader="dot" w:pos="9736"/>
            </w:tabs>
            <w:rPr>
              <w:rFonts w:eastAsiaTheme="minorEastAsia" w:cstheme="minorBidi"/>
              <w:noProof/>
              <w:szCs w:val="22"/>
              <w:lang w:eastAsia="fr-FR"/>
            </w:rPr>
          </w:pPr>
          <w:r w:rsidRPr="00316AA2">
            <w:rPr>
              <w:rFonts w:cstheme="minorHAnsi"/>
              <w:szCs w:val="22"/>
            </w:rPr>
            <w:fldChar w:fldCharType="begin"/>
          </w:r>
          <w:r w:rsidRPr="00316AA2">
            <w:rPr>
              <w:rFonts w:cstheme="minorHAnsi"/>
              <w:szCs w:val="22"/>
            </w:rPr>
            <w:instrText xml:space="preserve"> TOC \o "1-3" \h \z \u </w:instrText>
          </w:r>
          <w:r w:rsidRPr="00316AA2">
            <w:rPr>
              <w:rFonts w:cstheme="minorHAnsi"/>
              <w:szCs w:val="22"/>
            </w:rPr>
            <w:fldChar w:fldCharType="separate"/>
          </w:r>
          <w:hyperlink w:anchor="_Toc432788894" w:history="1">
            <w:r w:rsidR="00DF0F94" w:rsidRPr="00204D38">
              <w:rPr>
                <w:rStyle w:val="Lienhypertexte"/>
                <w:noProof/>
              </w:rPr>
              <w:t>Chapitre 1</w:t>
            </w:r>
            <w:r w:rsidR="00DF0F94">
              <w:rPr>
                <w:rFonts w:eastAsiaTheme="minorEastAsia" w:cstheme="minorBidi"/>
                <w:noProof/>
                <w:szCs w:val="22"/>
                <w:lang w:eastAsia="fr-FR"/>
              </w:rPr>
              <w:tab/>
            </w:r>
            <w:r w:rsidR="00DF0F94" w:rsidRPr="00204D38">
              <w:rPr>
                <w:rStyle w:val="Lienhypertexte"/>
                <w:noProof/>
              </w:rPr>
              <w:t>Champ d’application et priorités de l’Interbranches</w:t>
            </w:r>
            <w:r w:rsidR="00DF0F94">
              <w:rPr>
                <w:noProof/>
                <w:webHidden/>
              </w:rPr>
              <w:tab/>
            </w:r>
            <w:r w:rsidR="00DF0F94">
              <w:rPr>
                <w:noProof/>
                <w:webHidden/>
              </w:rPr>
              <w:fldChar w:fldCharType="begin"/>
            </w:r>
            <w:r w:rsidR="00DF0F94">
              <w:rPr>
                <w:noProof/>
                <w:webHidden/>
              </w:rPr>
              <w:instrText xml:space="preserve"> PAGEREF _Toc432788894 \h </w:instrText>
            </w:r>
            <w:r w:rsidR="00DF0F94">
              <w:rPr>
                <w:noProof/>
                <w:webHidden/>
              </w:rPr>
            </w:r>
            <w:r w:rsidR="00DF0F94">
              <w:rPr>
                <w:noProof/>
                <w:webHidden/>
              </w:rPr>
              <w:fldChar w:fldCharType="separate"/>
            </w:r>
            <w:r w:rsidR="00D345CE">
              <w:rPr>
                <w:noProof/>
                <w:webHidden/>
              </w:rPr>
              <w:t>6</w:t>
            </w:r>
            <w:r w:rsidR="00DF0F94">
              <w:rPr>
                <w:noProof/>
                <w:webHidden/>
              </w:rPr>
              <w:fldChar w:fldCharType="end"/>
            </w:r>
          </w:hyperlink>
        </w:p>
        <w:p w:rsidR="00DF0F94" w:rsidRDefault="00D345CE">
          <w:pPr>
            <w:pStyle w:val="TM2"/>
            <w:tabs>
              <w:tab w:val="right" w:leader="dot" w:pos="9736"/>
            </w:tabs>
            <w:rPr>
              <w:noProof/>
            </w:rPr>
          </w:pPr>
          <w:hyperlink w:anchor="_Toc432788895" w:history="1">
            <w:r w:rsidR="00DF0F94" w:rsidRPr="00204D38">
              <w:rPr>
                <w:rStyle w:val="Lienhypertexte"/>
                <w:noProof/>
              </w:rPr>
              <w:t>1.1 Champ d’application</w:t>
            </w:r>
            <w:r w:rsidR="00DF0F94">
              <w:rPr>
                <w:noProof/>
                <w:webHidden/>
              </w:rPr>
              <w:tab/>
            </w:r>
            <w:r w:rsidR="00DF0F94">
              <w:rPr>
                <w:noProof/>
                <w:webHidden/>
              </w:rPr>
              <w:fldChar w:fldCharType="begin"/>
            </w:r>
            <w:r w:rsidR="00DF0F94">
              <w:rPr>
                <w:noProof/>
                <w:webHidden/>
              </w:rPr>
              <w:instrText xml:space="preserve"> PAGEREF _Toc432788895 \h </w:instrText>
            </w:r>
            <w:r w:rsidR="00DF0F94">
              <w:rPr>
                <w:noProof/>
                <w:webHidden/>
              </w:rPr>
            </w:r>
            <w:r w:rsidR="00DF0F94">
              <w:rPr>
                <w:noProof/>
                <w:webHidden/>
              </w:rPr>
              <w:fldChar w:fldCharType="separate"/>
            </w:r>
            <w:r>
              <w:rPr>
                <w:noProof/>
                <w:webHidden/>
              </w:rPr>
              <w:t>6</w:t>
            </w:r>
            <w:r w:rsidR="00DF0F94">
              <w:rPr>
                <w:noProof/>
                <w:webHidden/>
              </w:rPr>
              <w:fldChar w:fldCharType="end"/>
            </w:r>
          </w:hyperlink>
        </w:p>
        <w:p w:rsidR="00DF0F94" w:rsidRDefault="00D345CE">
          <w:pPr>
            <w:pStyle w:val="TM2"/>
            <w:tabs>
              <w:tab w:val="right" w:leader="dot" w:pos="9736"/>
            </w:tabs>
            <w:rPr>
              <w:noProof/>
            </w:rPr>
          </w:pPr>
          <w:hyperlink w:anchor="_Toc432788896" w:history="1">
            <w:r w:rsidR="00DF0F94" w:rsidRPr="00204D38">
              <w:rPr>
                <w:rStyle w:val="Lienhypertexte"/>
                <w:noProof/>
              </w:rPr>
              <w:t>1.2 Priorités de branche</w:t>
            </w:r>
            <w:r w:rsidR="00DF0F94">
              <w:rPr>
                <w:noProof/>
                <w:webHidden/>
              </w:rPr>
              <w:tab/>
            </w:r>
            <w:r w:rsidR="00DF0F94">
              <w:rPr>
                <w:noProof/>
                <w:webHidden/>
              </w:rPr>
              <w:fldChar w:fldCharType="begin"/>
            </w:r>
            <w:r w:rsidR="00DF0F94">
              <w:rPr>
                <w:noProof/>
                <w:webHidden/>
              </w:rPr>
              <w:instrText xml:space="preserve"> PAGEREF _Toc432788896 \h </w:instrText>
            </w:r>
            <w:r w:rsidR="00DF0F94">
              <w:rPr>
                <w:noProof/>
                <w:webHidden/>
              </w:rPr>
            </w:r>
            <w:r w:rsidR="00DF0F94">
              <w:rPr>
                <w:noProof/>
                <w:webHidden/>
              </w:rPr>
              <w:fldChar w:fldCharType="separate"/>
            </w:r>
            <w:r>
              <w:rPr>
                <w:noProof/>
                <w:webHidden/>
              </w:rPr>
              <w:t>7</w:t>
            </w:r>
            <w:r w:rsidR="00DF0F94">
              <w:rPr>
                <w:noProof/>
                <w:webHidden/>
              </w:rPr>
              <w:fldChar w:fldCharType="end"/>
            </w:r>
          </w:hyperlink>
        </w:p>
        <w:p w:rsidR="00DF0F94" w:rsidRDefault="00D345CE">
          <w:pPr>
            <w:pStyle w:val="TM1"/>
            <w:tabs>
              <w:tab w:val="left" w:pos="1320"/>
              <w:tab w:val="right" w:leader="dot" w:pos="9736"/>
            </w:tabs>
            <w:rPr>
              <w:rFonts w:eastAsiaTheme="minorEastAsia" w:cstheme="minorBidi"/>
              <w:noProof/>
              <w:szCs w:val="22"/>
              <w:lang w:eastAsia="fr-FR"/>
            </w:rPr>
          </w:pPr>
          <w:hyperlink w:anchor="_Toc432788897" w:history="1">
            <w:r w:rsidR="00DF0F94" w:rsidRPr="00204D38">
              <w:rPr>
                <w:rStyle w:val="Lienhypertexte"/>
                <w:noProof/>
              </w:rPr>
              <w:t>Chapitre 2</w:t>
            </w:r>
            <w:r w:rsidR="00DF0F94">
              <w:rPr>
                <w:rFonts w:eastAsiaTheme="minorEastAsia" w:cstheme="minorBidi"/>
                <w:noProof/>
                <w:szCs w:val="22"/>
                <w:lang w:eastAsia="fr-FR"/>
              </w:rPr>
              <w:tab/>
            </w:r>
            <w:r w:rsidR="00DF0F94" w:rsidRPr="00204D38">
              <w:rPr>
                <w:rStyle w:val="Lienhypertexte"/>
                <w:noProof/>
              </w:rPr>
              <w:t>Les Instances paritaires de l’Interbranches</w:t>
            </w:r>
            <w:r w:rsidR="00DF0F94">
              <w:rPr>
                <w:noProof/>
                <w:webHidden/>
              </w:rPr>
              <w:tab/>
            </w:r>
            <w:r w:rsidR="00DF0F94">
              <w:rPr>
                <w:noProof/>
                <w:webHidden/>
              </w:rPr>
              <w:fldChar w:fldCharType="begin"/>
            </w:r>
            <w:r w:rsidR="00DF0F94">
              <w:rPr>
                <w:noProof/>
                <w:webHidden/>
              </w:rPr>
              <w:instrText xml:space="preserve"> PAGEREF _Toc432788897 \h </w:instrText>
            </w:r>
            <w:r w:rsidR="00DF0F94">
              <w:rPr>
                <w:noProof/>
                <w:webHidden/>
              </w:rPr>
            </w:r>
            <w:r w:rsidR="00DF0F94">
              <w:rPr>
                <w:noProof/>
                <w:webHidden/>
              </w:rPr>
              <w:fldChar w:fldCharType="separate"/>
            </w:r>
            <w:r>
              <w:rPr>
                <w:noProof/>
                <w:webHidden/>
              </w:rPr>
              <w:t>8</w:t>
            </w:r>
            <w:r w:rsidR="00DF0F94">
              <w:rPr>
                <w:noProof/>
                <w:webHidden/>
              </w:rPr>
              <w:fldChar w:fldCharType="end"/>
            </w:r>
          </w:hyperlink>
        </w:p>
        <w:p w:rsidR="00DF0F94" w:rsidRDefault="00D345CE">
          <w:pPr>
            <w:pStyle w:val="TM2"/>
            <w:tabs>
              <w:tab w:val="right" w:leader="dot" w:pos="9736"/>
            </w:tabs>
            <w:rPr>
              <w:noProof/>
            </w:rPr>
          </w:pPr>
          <w:hyperlink w:anchor="_Toc432788898" w:history="1">
            <w:r w:rsidR="00DF0F94" w:rsidRPr="00204D38">
              <w:rPr>
                <w:rStyle w:val="Lienhypertexte"/>
                <w:noProof/>
              </w:rPr>
              <w:t>2.1 La CPN EEP Formation</w:t>
            </w:r>
            <w:r w:rsidR="00DF0F94">
              <w:rPr>
                <w:noProof/>
                <w:webHidden/>
              </w:rPr>
              <w:tab/>
            </w:r>
            <w:r w:rsidR="00DF0F94">
              <w:rPr>
                <w:noProof/>
                <w:webHidden/>
              </w:rPr>
              <w:fldChar w:fldCharType="begin"/>
            </w:r>
            <w:r w:rsidR="00DF0F94">
              <w:rPr>
                <w:noProof/>
                <w:webHidden/>
              </w:rPr>
              <w:instrText xml:space="preserve"> PAGEREF _Toc432788898 \h </w:instrText>
            </w:r>
            <w:r w:rsidR="00DF0F94">
              <w:rPr>
                <w:noProof/>
                <w:webHidden/>
              </w:rPr>
            </w:r>
            <w:r w:rsidR="00DF0F94">
              <w:rPr>
                <w:noProof/>
                <w:webHidden/>
              </w:rPr>
              <w:fldChar w:fldCharType="separate"/>
            </w:r>
            <w:r>
              <w:rPr>
                <w:noProof/>
                <w:webHidden/>
              </w:rPr>
              <w:t>8</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899" w:history="1">
            <w:r w:rsidR="00DF0F94" w:rsidRPr="00204D38">
              <w:rPr>
                <w:rStyle w:val="Lienhypertexte"/>
                <w:noProof/>
              </w:rPr>
              <w:t xml:space="preserve">2.1.1 Composition de la </w:t>
            </w:r>
            <w:r w:rsidR="00DF0F94" w:rsidRPr="00204D38">
              <w:rPr>
                <w:rStyle w:val="Lienhypertexte"/>
                <w:i/>
                <w:noProof/>
              </w:rPr>
              <w:t>CPN EEP Formation</w:t>
            </w:r>
            <w:r w:rsidR="00DF0F94">
              <w:rPr>
                <w:noProof/>
                <w:webHidden/>
              </w:rPr>
              <w:tab/>
            </w:r>
            <w:r w:rsidR="00DF0F94">
              <w:rPr>
                <w:noProof/>
                <w:webHidden/>
              </w:rPr>
              <w:fldChar w:fldCharType="begin"/>
            </w:r>
            <w:r w:rsidR="00DF0F94">
              <w:rPr>
                <w:noProof/>
                <w:webHidden/>
              </w:rPr>
              <w:instrText xml:space="preserve"> PAGEREF _Toc432788899 \h </w:instrText>
            </w:r>
            <w:r w:rsidR="00DF0F94">
              <w:rPr>
                <w:noProof/>
                <w:webHidden/>
              </w:rPr>
            </w:r>
            <w:r w:rsidR="00DF0F94">
              <w:rPr>
                <w:noProof/>
                <w:webHidden/>
              </w:rPr>
              <w:fldChar w:fldCharType="separate"/>
            </w:r>
            <w:r>
              <w:rPr>
                <w:noProof/>
                <w:webHidden/>
              </w:rPr>
              <w:t>8</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0" w:history="1">
            <w:r w:rsidR="00DF0F94" w:rsidRPr="00204D38">
              <w:rPr>
                <w:rStyle w:val="Lienhypertexte"/>
                <w:noProof/>
              </w:rPr>
              <w:t>2.1.2 Missions</w:t>
            </w:r>
            <w:r w:rsidR="00DF0F94">
              <w:rPr>
                <w:noProof/>
                <w:webHidden/>
              </w:rPr>
              <w:tab/>
            </w:r>
            <w:r w:rsidR="00DF0F94">
              <w:rPr>
                <w:noProof/>
                <w:webHidden/>
              </w:rPr>
              <w:fldChar w:fldCharType="begin"/>
            </w:r>
            <w:r w:rsidR="00DF0F94">
              <w:rPr>
                <w:noProof/>
                <w:webHidden/>
              </w:rPr>
              <w:instrText xml:space="preserve"> PAGEREF _Toc432788900 \h </w:instrText>
            </w:r>
            <w:r w:rsidR="00DF0F94">
              <w:rPr>
                <w:noProof/>
                <w:webHidden/>
              </w:rPr>
            </w:r>
            <w:r w:rsidR="00DF0F94">
              <w:rPr>
                <w:noProof/>
                <w:webHidden/>
              </w:rPr>
              <w:fldChar w:fldCharType="separate"/>
            </w:r>
            <w:r>
              <w:rPr>
                <w:noProof/>
                <w:webHidden/>
              </w:rPr>
              <w:t>8</w:t>
            </w:r>
            <w:r w:rsidR="00DF0F94">
              <w:rPr>
                <w:noProof/>
                <w:webHidden/>
              </w:rPr>
              <w:fldChar w:fldCharType="end"/>
            </w:r>
          </w:hyperlink>
        </w:p>
        <w:p w:rsidR="00DF0F94" w:rsidRDefault="00D345CE">
          <w:pPr>
            <w:pStyle w:val="TM2"/>
            <w:tabs>
              <w:tab w:val="right" w:leader="dot" w:pos="9736"/>
            </w:tabs>
            <w:rPr>
              <w:noProof/>
            </w:rPr>
          </w:pPr>
          <w:hyperlink w:anchor="_Toc432788901" w:history="1">
            <w:r w:rsidR="00DF0F94" w:rsidRPr="00204D38">
              <w:rPr>
                <w:rStyle w:val="Lienhypertexte"/>
                <w:noProof/>
              </w:rPr>
              <w:t>2.2 Observatoire Prospectif des Métiers, des Qualifications et des Compétences (Observatoire EEP Formation)</w:t>
            </w:r>
            <w:r w:rsidR="00DF0F94">
              <w:rPr>
                <w:noProof/>
                <w:webHidden/>
              </w:rPr>
              <w:tab/>
            </w:r>
            <w:r w:rsidR="00DF0F94">
              <w:rPr>
                <w:noProof/>
                <w:webHidden/>
              </w:rPr>
              <w:fldChar w:fldCharType="begin"/>
            </w:r>
            <w:r w:rsidR="00DF0F94">
              <w:rPr>
                <w:noProof/>
                <w:webHidden/>
              </w:rPr>
              <w:instrText xml:space="preserve"> PAGEREF _Toc432788901 \h </w:instrText>
            </w:r>
            <w:r w:rsidR="00DF0F94">
              <w:rPr>
                <w:noProof/>
                <w:webHidden/>
              </w:rPr>
            </w:r>
            <w:r w:rsidR="00DF0F94">
              <w:rPr>
                <w:noProof/>
                <w:webHidden/>
              </w:rPr>
              <w:fldChar w:fldCharType="separate"/>
            </w:r>
            <w:r>
              <w:rPr>
                <w:noProof/>
                <w:webHidden/>
              </w:rPr>
              <w:t>9</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2" w:history="1">
            <w:r w:rsidR="00DF0F94" w:rsidRPr="00204D38">
              <w:rPr>
                <w:rStyle w:val="Lienhypertexte"/>
                <w:noProof/>
              </w:rPr>
              <w:t>2.1.1 Composition</w:t>
            </w:r>
            <w:r w:rsidR="00DF0F94">
              <w:rPr>
                <w:noProof/>
                <w:webHidden/>
              </w:rPr>
              <w:tab/>
            </w:r>
            <w:r w:rsidR="00DF0F94">
              <w:rPr>
                <w:noProof/>
                <w:webHidden/>
              </w:rPr>
              <w:fldChar w:fldCharType="begin"/>
            </w:r>
            <w:r w:rsidR="00DF0F94">
              <w:rPr>
                <w:noProof/>
                <w:webHidden/>
              </w:rPr>
              <w:instrText xml:space="preserve"> PAGEREF _Toc432788902 \h </w:instrText>
            </w:r>
            <w:r w:rsidR="00DF0F94">
              <w:rPr>
                <w:noProof/>
                <w:webHidden/>
              </w:rPr>
            </w:r>
            <w:r w:rsidR="00DF0F94">
              <w:rPr>
                <w:noProof/>
                <w:webHidden/>
              </w:rPr>
              <w:fldChar w:fldCharType="separate"/>
            </w:r>
            <w:r>
              <w:rPr>
                <w:noProof/>
                <w:webHidden/>
              </w:rPr>
              <w:t>9</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3" w:history="1">
            <w:r w:rsidR="00DF0F94" w:rsidRPr="00204D38">
              <w:rPr>
                <w:rStyle w:val="Lienhypertexte"/>
                <w:noProof/>
              </w:rPr>
              <w:t>2.2.2 Missions de l’Observatoire EEP Formation</w:t>
            </w:r>
            <w:r w:rsidR="00DF0F94">
              <w:rPr>
                <w:noProof/>
                <w:webHidden/>
              </w:rPr>
              <w:tab/>
            </w:r>
            <w:r w:rsidR="00DF0F94">
              <w:rPr>
                <w:noProof/>
                <w:webHidden/>
              </w:rPr>
              <w:fldChar w:fldCharType="begin"/>
            </w:r>
            <w:r w:rsidR="00DF0F94">
              <w:rPr>
                <w:noProof/>
                <w:webHidden/>
              </w:rPr>
              <w:instrText xml:space="preserve"> PAGEREF _Toc432788903 \h </w:instrText>
            </w:r>
            <w:r w:rsidR="00DF0F94">
              <w:rPr>
                <w:noProof/>
                <w:webHidden/>
              </w:rPr>
            </w:r>
            <w:r w:rsidR="00DF0F94">
              <w:rPr>
                <w:noProof/>
                <w:webHidden/>
              </w:rPr>
              <w:fldChar w:fldCharType="separate"/>
            </w:r>
            <w:r>
              <w:rPr>
                <w:noProof/>
                <w:webHidden/>
              </w:rPr>
              <w:t>9</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4" w:history="1">
            <w:r w:rsidR="00DF0F94" w:rsidRPr="00204D38">
              <w:rPr>
                <w:rStyle w:val="Lienhypertexte"/>
                <w:noProof/>
              </w:rPr>
              <w:t>2.2.3 Fonctionnement</w:t>
            </w:r>
            <w:r w:rsidR="00DF0F94">
              <w:rPr>
                <w:noProof/>
                <w:webHidden/>
              </w:rPr>
              <w:tab/>
            </w:r>
            <w:r w:rsidR="00DF0F94">
              <w:rPr>
                <w:noProof/>
                <w:webHidden/>
              </w:rPr>
              <w:fldChar w:fldCharType="begin"/>
            </w:r>
            <w:r w:rsidR="00DF0F94">
              <w:rPr>
                <w:noProof/>
                <w:webHidden/>
              </w:rPr>
              <w:instrText xml:space="preserve"> PAGEREF _Toc432788904 \h </w:instrText>
            </w:r>
            <w:r w:rsidR="00DF0F94">
              <w:rPr>
                <w:noProof/>
                <w:webHidden/>
              </w:rPr>
            </w:r>
            <w:r w:rsidR="00DF0F94">
              <w:rPr>
                <w:noProof/>
                <w:webHidden/>
              </w:rPr>
              <w:fldChar w:fldCharType="separate"/>
            </w:r>
            <w:r>
              <w:rPr>
                <w:noProof/>
                <w:webHidden/>
              </w:rPr>
              <w:t>10</w:t>
            </w:r>
            <w:r w:rsidR="00DF0F94">
              <w:rPr>
                <w:noProof/>
                <w:webHidden/>
              </w:rPr>
              <w:fldChar w:fldCharType="end"/>
            </w:r>
          </w:hyperlink>
        </w:p>
        <w:p w:rsidR="00DF0F94" w:rsidRDefault="00D345CE">
          <w:pPr>
            <w:pStyle w:val="TM2"/>
            <w:tabs>
              <w:tab w:val="right" w:leader="dot" w:pos="9736"/>
            </w:tabs>
            <w:rPr>
              <w:noProof/>
            </w:rPr>
          </w:pPr>
          <w:hyperlink w:anchor="_Toc432788905" w:history="1">
            <w:r w:rsidR="00DF0F94" w:rsidRPr="00204D38">
              <w:rPr>
                <w:rStyle w:val="Lienhypertexte"/>
                <w:noProof/>
              </w:rPr>
              <w:t>2.3 L’Organisme Paritaire Collecteur Agrée (OPCA)</w:t>
            </w:r>
            <w:r w:rsidR="00DF0F94">
              <w:rPr>
                <w:noProof/>
                <w:webHidden/>
              </w:rPr>
              <w:tab/>
            </w:r>
            <w:r w:rsidR="00DF0F94">
              <w:rPr>
                <w:noProof/>
                <w:webHidden/>
              </w:rPr>
              <w:fldChar w:fldCharType="begin"/>
            </w:r>
            <w:r w:rsidR="00DF0F94">
              <w:rPr>
                <w:noProof/>
                <w:webHidden/>
              </w:rPr>
              <w:instrText xml:space="preserve"> PAGEREF _Toc432788905 \h </w:instrText>
            </w:r>
            <w:r w:rsidR="00DF0F94">
              <w:rPr>
                <w:noProof/>
                <w:webHidden/>
              </w:rPr>
            </w:r>
            <w:r w:rsidR="00DF0F94">
              <w:rPr>
                <w:noProof/>
                <w:webHidden/>
              </w:rPr>
              <w:fldChar w:fldCharType="separate"/>
            </w:r>
            <w:r>
              <w:rPr>
                <w:noProof/>
                <w:webHidden/>
              </w:rPr>
              <w:t>10</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6" w:history="1">
            <w:r w:rsidR="00DF0F94" w:rsidRPr="00204D38">
              <w:rPr>
                <w:rStyle w:val="Lienhypertexte"/>
                <w:noProof/>
              </w:rPr>
              <w:t>2.3.1 Désignation de l’OPCA pour l’Interbranches</w:t>
            </w:r>
            <w:r w:rsidR="00DF0F94">
              <w:rPr>
                <w:noProof/>
                <w:webHidden/>
              </w:rPr>
              <w:tab/>
            </w:r>
            <w:r w:rsidR="00DF0F94">
              <w:rPr>
                <w:noProof/>
                <w:webHidden/>
              </w:rPr>
              <w:fldChar w:fldCharType="begin"/>
            </w:r>
            <w:r w:rsidR="00DF0F94">
              <w:rPr>
                <w:noProof/>
                <w:webHidden/>
              </w:rPr>
              <w:instrText xml:space="preserve"> PAGEREF _Toc432788906 \h </w:instrText>
            </w:r>
            <w:r w:rsidR="00DF0F94">
              <w:rPr>
                <w:noProof/>
                <w:webHidden/>
              </w:rPr>
            </w:r>
            <w:r w:rsidR="00DF0F94">
              <w:rPr>
                <w:noProof/>
                <w:webHidden/>
              </w:rPr>
              <w:fldChar w:fldCharType="separate"/>
            </w:r>
            <w:r>
              <w:rPr>
                <w:noProof/>
                <w:webHidden/>
              </w:rPr>
              <w:t>10</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7" w:history="1">
            <w:r w:rsidR="00DF0F94" w:rsidRPr="00204D38">
              <w:rPr>
                <w:rStyle w:val="Lienhypertexte"/>
                <w:noProof/>
              </w:rPr>
              <w:t>2.3.2 Missions de l’OPCA</w:t>
            </w:r>
            <w:r w:rsidR="00DF0F94">
              <w:rPr>
                <w:noProof/>
                <w:webHidden/>
              </w:rPr>
              <w:tab/>
            </w:r>
            <w:r w:rsidR="00DF0F94">
              <w:rPr>
                <w:noProof/>
                <w:webHidden/>
              </w:rPr>
              <w:fldChar w:fldCharType="begin"/>
            </w:r>
            <w:r w:rsidR="00DF0F94">
              <w:rPr>
                <w:noProof/>
                <w:webHidden/>
              </w:rPr>
              <w:instrText xml:space="preserve"> PAGEREF _Toc432788907 \h </w:instrText>
            </w:r>
            <w:r w:rsidR="00DF0F94">
              <w:rPr>
                <w:noProof/>
                <w:webHidden/>
              </w:rPr>
            </w:r>
            <w:r w:rsidR="00DF0F94">
              <w:rPr>
                <w:noProof/>
                <w:webHidden/>
              </w:rPr>
              <w:fldChar w:fldCharType="separate"/>
            </w:r>
            <w:r>
              <w:rPr>
                <w:noProof/>
                <w:webHidden/>
              </w:rPr>
              <w:t>10</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08" w:history="1">
            <w:r w:rsidR="00DF0F94" w:rsidRPr="00204D38">
              <w:rPr>
                <w:rStyle w:val="Lienhypertexte"/>
                <w:noProof/>
              </w:rPr>
              <w:t>2.3.3 Section Paritaire Professionnelle (SPP)</w:t>
            </w:r>
            <w:r w:rsidR="00DF0F94">
              <w:rPr>
                <w:noProof/>
                <w:webHidden/>
              </w:rPr>
              <w:tab/>
            </w:r>
            <w:r w:rsidR="00DF0F94">
              <w:rPr>
                <w:noProof/>
                <w:webHidden/>
              </w:rPr>
              <w:fldChar w:fldCharType="begin"/>
            </w:r>
            <w:r w:rsidR="00DF0F94">
              <w:rPr>
                <w:noProof/>
                <w:webHidden/>
              </w:rPr>
              <w:instrText xml:space="preserve"> PAGEREF _Toc432788908 \h </w:instrText>
            </w:r>
            <w:r w:rsidR="00DF0F94">
              <w:rPr>
                <w:noProof/>
                <w:webHidden/>
              </w:rPr>
            </w:r>
            <w:r w:rsidR="00DF0F94">
              <w:rPr>
                <w:noProof/>
                <w:webHidden/>
              </w:rPr>
              <w:fldChar w:fldCharType="separate"/>
            </w:r>
            <w:r>
              <w:rPr>
                <w:noProof/>
                <w:webHidden/>
              </w:rPr>
              <w:t>10</w:t>
            </w:r>
            <w:r w:rsidR="00DF0F94">
              <w:rPr>
                <w:noProof/>
                <w:webHidden/>
              </w:rPr>
              <w:fldChar w:fldCharType="end"/>
            </w:r>
          </w:hyperlink>
        </w:p>
        <w:p w:rsidR="00DF0F94" w:rsidRDefault="00D345CE">
          <w:pPr>
            <w:pStyle w:val="TM1"/>
            <w:tabs>
              <w:tab w:val="left" w:pos="1320"/>
              <w:tab w:val="right" w:leader="dot" w:pos="9736"/>
            </w:tabs>
            <w:rPr>
              <w:rFonts w:eastAsiaTheme="minorEastAsia" w:cstheme="minorBidi"/>
              <w:noProof/>
              <w:szCs w:val="22"/>
              <w:lang w:eastAsia="fr-FR"/>
            </w:rPr>
          </w:pPr>
          <w:hyperlink w:anchor="_Toc432788909" w:history="1">
            <w:r w:rsidR="00DF0F94" w:rsidRPr="00204D38">
              <w:rPr>
                <w:rStyle w:val="Lienhypertexte"/>
                <w:noProof/>
              </w:rPr>
              <w:t>Chapitre 3</w:t>
            </w:r>
            <w:r w:rsidR="00DF0F94">
              <w:rPr>
                <w:rFonts w:eastAsiaTheme="minorEastAsia" w:cstheme="minorBidi"/>
                <w:noProof/>
                <w:szCs w:val="22"/>
                <w:lang w:eastAsia="fr-FR"/>
              </w:rPr>
              <w:tab/>
            </w:r>
            <w:r w:rsidR="00DF0F94" w:rsidRPr="00204D38">
              <w:rPr>
                <w:rStyle w:val="Lienhypertexte"/>
                <w:noProof/>
              </w:rPr>
              <w:t>L’accompagnement tout au long du parcours professionnel</w:t>
            </w:r>
            <w:r w:rsidR="00DF0F94">
              <w:rPr>
                <w:noProof/>
                <w:webHidden/>
              </w:rPr>
              <w:tab/>
            </w:r>
            <w:r w:rsidR="00DF0F94">
              <w:rPr>
                <w:noProof/>
                <w:webHidden/>
              </w:rPr>
              <w:fldChar w:fldCharType="begin"/>
            </w:r>
            <w:r w:rsidR="00DF0F94">
              <w:rPr>
                <w:noProof/>
                <w:webHidden/>
              </w:rPr>
              <w:instrText xml:space="preserve"> PAGEREF _Toc432788909 \h </w:instrText>
            </w:r>
            <w:r w:rsidR="00DF0F94">
              <w:rPr>
                <w:noProof/>
                <w:webHidden/>
              </w:rPr>
            </w:r>
            <w:r w:rsidR="00DF0F94">
              <w:rPr>
                <w:noProof/>
                <w:webHidden/>
              </w:rPr>
              <w:fldChar w:fldCharType="separate"/>
            </w:r>
            <w:r>
              <w:rPr>
                <w:noProof/>
                <w:webHidden/>
              </w:rPr>
              <w:t>11</w:t>
            </w:r>
            <w:r w:rsidR="00DF0F94">
              <w:rPr>
                <w:noProof/>
                <w:webHidden/>
              </w:rPr>
              <w:fldChar w:fldCharType="end"/>
            </w:r>
          </w:hyperlink>
        </w:p>
        <w:p w:rsidR="00DF0F94" w:rsidRDefault="00D345CE">
          <w:pPr>
            <w:pStyle w:val="TM2"/>
            <w:tabs>
              <w:tab w:val="right" w:leader="dot" w:pos="9736"/>
            </w:tabs>
            <w:rPr>
              <w:noProof/>
            </w:rPr>
          </w:pPr>
          <w:hyperlink w:anchor="_Toc432788910" w:history="1">
            <w:r w:rsidR="00DF0F94" w:rsidRPr="00204D38">
              <w:rPr>
                <w:rStyle w:val="Lienhypertexte"/>
                <w:noProof/>
              </w:rPr>
              <w:t>Section 1 : Information et accompagnement du salarié dans la gestion de sa carrière</w:t>
            </w:r>
            <w:r w:rsidR="00DF0F94">
              <w:rPr>
                <w:noProof/>
                <w:webHidden/>
              </w:rPr>
              <w:tab/>
            </w:r>
            <w:r w:rsidR="00DF0F94">
              <w:rPr>
                <w:noProof/>
                <w:webHidden/>
              </w:rPr>
              <w:fldChar w:fldCharType="begin"/>
            </w:r>
            <w:r w:rsidR="00DF0F94">
              <w:rPr>
                <w:noProof/>
                <w:webHidden/>
              </w:rPr>
              <w:instrText xml:space="preserve"> PAGEREF _Toc432788910 \h </w:instrText>
            </w:r>
            <w:r w:rsidR="00DF0F94">
              <w:rPr>
                <w:noProof/>
                <w:webHidden/>
              </w:rPr>
            </w:r>
            <w:r w:rsidR="00DF0F94">
              <w:rPr>
                <w:noProof/>
                <w:webHidden/>
              </w:rPr>
              <w:fldChar w:fldCharType="separate"/>
            </w:r>
            <w:r>
              <w:rPr>
                <w:noProof/>
                <w:webHidden/>
              </w:rPr>
              <w:t>11</w:t>
            </w:r>
            <w:r w:rsidR="00DF0F94">
              <w:rPr>
                <w:noProof/>
                <w:webHidden/>
              </w:rPr>
              <w:fldChar w:fldCharType="end"/>
            </w:r>
          </w:hyperlink>
        </w:p>
        <w:p w:rsidR="00DF0F94" w:rsidRDefault="00D345CE">
          <w:pPr>
            <w:pStyle w:val="TM2"/>
            <w:tabs>
              <w:tab w:val="right" w:leader="dot" w:pos="9736"/>
            </w:tabs>
            <w:rPr>
              <w:noProof/>
            </w:rPr>
          </w:pPr>
          <w:hyperlink w:anchor="_Toc432788911" w:history="1">
            <w:r w:rsidR="00DF0F94" w:rsidRPr="00204D38">
              <w:rPr>
                <w:rStyle w:val="Lienhypertexte"/>
                <w:noProof/>
              </w:rPr>
              <w:t>3.1 L’Entretien professionnel et état des lieux récapitulatif</w:t>
            </w:r>
            <w:r w:rsidR="00DF0F94">
              <w:rPr>
                <w:noProof/>
                <w:webHidden/>
              </w:rPr>
              <w:tab/>
            </w:r>
            <w:r w:rsidR="00DF0F94">
              <w:rPr>
                <w:noProof/>
                <w:webHidden/>
              </w:rPr>
              <w:fldChar w:fldCharType="begin"/>
            </w:r>
            <w:r w:rsidR="00DF0F94">
              <w:rPr>
                <w:noProof/>
                <w:webHidden/>
              </w:rPr>
              <w:instrText xml:space="preserve"> PAGEREF _Toc432788911 \h </w:instrText>
            </w:r>
            <w:r w:rsidR="00DF0F94">
              <w:rPr>
                <w:noProof/>
                <w:webHidden/>
              </w:rPr>
            </w:r>
            <w:r w:rsidR="00DF0F94">
              <w:rPr>
                <w:noProof/>
                <w:webHidden/>
              </w:rPr>
              <w:fldChar w:fldCharType="separate"/>
            </w:r>
            <w:r>
              <w:rPr>
                <w:noProof/>
                <w:webHidden/>
              </w:rPr>
              <w:t>11</w:t>
            </w:r>
            <w:r w:rsidR="00DF0F94">
              <w:rPr>
                <w:noProof/>
                <w:webHidden/>
              </w:rPr>
              <w:fldChar w:fldCharType="end"/>
            </w:r>
          </w:hyperlink>
        </w:p>
        <w:p w:rsidR="00DF0F94" w:rsidRDefault="00D345CE">
          <w:pPr>
            <w:pStyle w:val="TM2"/>
            <w:tabs>
              <w:tab w:val="right" w:leader="dot" w:pos="9736"/>
            </w:tabs>
            <w:rPr>
              <w:noProof/>
            </w:rPr>
          </w:pPr>
          <w:hyperlink w:anchor="_Toc432788912" w:history="1">
            <w:r w:rsidR="00DF0F94" w:rsidRPr="00204D38">
              <w:rPr>
                <w:rStyle w:val="Lienhypertexte"/>
                <w:noProof/>
              </w:rPr>
              <w:t>3.2 Le Bilan de compétences</w:t>
            </w:r>
            <w:r w:rsidR="00DF0F94">
              <w:rPr>
                <w:noProof/>
                <w:webHidden/>
              </w:rPr>
              <w:tab/>
            </w:r>
            <w:r w:rsidR="00DF0F94">
              <w:rPr>
                <w:noProof/>
                <w:webHidden/>
              </w:rPr>
              <w:fldChar w:fldCharType="begin"/>
            </w:r>
            <w:r w:rsidR="00DF0F94">
              <w:rPr>
                <w:noProof/>
                <w:webHidden/>
              </w:rPr>
              <w:instrText xml:space="preserve"> PAGEREF _Toc432788912 \h </w:instrText>
            </w:r>
            <w:r w:rsidR="00DF0F94">
              <w:rPr>
                <w:noProof/>
                <w:webHidden/>
              </w:rPr>
            </w:r>
            <w:r w:rsidR="00DF0F94">
              <w:rPr>
                <w:noProof/>
                <w:webHidden/>
              </w:rPr>
              <w:fldChar w:fldCharType="separate"/>
            </w:r>
            <w:r>
              <w:rPr>
                <w:noProof/>
                <w:webHidden/>
              </w:rPr>
              <w:t>12</w:t>
            </w:r>
            <w:r w:rsidR="00DF0F94">
              <w:rPr>
                <w:noProof/>
                <w:webHidden/>
              </w:rPr>
              <w:fldChar w:fldCharType="end"/>
            </w:r>
          </w:hyperlink>
        </w:p>
        <w:p w:rsidR="00DF0F94" w:rsidRDefault="00D345CE">
          <w:pPr>
            <w:pStyle w:val="TM2"/>
            <w:tabs>
              <w:tab w:val="right" w:leader="dot" w:pos="9736"/>
            </w:tabs>
            <w:rPr>
              <w:noProof/>
            </w:rPr>
          </w:pPr>
          <w:hyperlink w:anchor="_Toc432788913" w:history="1">
            <w:r w:rsidR="00DF0F94" w:rsidRPr="00204D38">
              <w:rPr>
                <w:rStyle w:val="Lienhypertexte"/>
                <w:noProof/>
              </w:rPr>
              <w:t>3.3 Le Conseil en Evolution Professionnelle (CEP)</w:t>
            </w:r>
            <w:r w:rsidR="00DF0F94">
              <w:rPr>
                <w:noProof/>
                <w:webHidden/>
              </w:rPr>
              <w:tab/>
            </w:r>
            <w:r w:rsidR="00DF0F94">
              <w:rPr>
                <w:noProof/>
                <w:webHidden/>
              </w:rPr>
              <w:fldChar w:fldCharType="begin"/>
            </w:r>
            <w:r w:rsidR="00DF0F94">
              <w:rPr>
                <w:noProof/>
                <w:webHidden/>
              </w:rPr>
              <w:instrText xml:space="preserve"> PAGEREF _Toc432788913 \h </w:instrText>
            </w:r>
            <w:r w:rsidR="00DF0F94">
              <w:rPr>
                <w:noProof/>
                <w:webHidden/>
              </w:rPr>
            </w:r>
            <w:r w:rsidR="00DF0F94">
              <w:rPr>
                <w:noProof/>
                <w:webHidden/>
              </w:rPr>
              <w:fldChar w:fldCharType="separate"/>
            </w:r>
            <w:r>
              <w:rPr>
                <w:noProof/>
                <w:webHidden/>
              </w:rPr>
              <w:t>12</w:t>
            </w:r>
            <w:r w:rsidR="00DF0F94">
              <w:rPr>
                <w:noProof/>
                <w:webHidden/>
              </w:rPr>
              <w:fldChar w:fldCharType="end"/>
            </w:r>
          </w:hyperlink>
        </w:p>
        <w:p w:rsidR="00DF0F94" w:rsidRDefault="00D345CE">
          <w:pPr>
            <w:pStyle w:val="TM2"/>
            <w:tabs>
              <w:tab w:val="right" w:leader="dot" w:pos="9736"/>
            </w:tabs>
            <w:rPr>
              <w:noProof/>
            </w:rPr>
          </w:pPr>
          <w:hyperlink w:anchor="_Toc432788914" w:history="1">
            <w:r w:rsidR="00DF0F94" w:rsidRPr="00204D38">
              <w:rPr>
                <w:rStyle w:val="Lienhypertexte"/>
                <w:noProof/>
              </w:rPr>
              <w:t>3.4 Librio EEP Formation</w:t>
            </w:r>
            <w:r w:rsidR="00DF0F94">
              <w:rPr>
                <w:noProof/>
                <w:webHidden/>
              </w:rPr>
              <w:tab/>
            </w:r>
            <w:r w:rsidR="00DF0F94">
              <w:rPr>
                <w:noProof/>
                <w:webHidden/>
              </w:rPr>
              <w:fldChar w:fldCharType="begin"/>
            </w:r>
            <w:r w:rsidR="00DF0F94">
              <w:rPr>
                <w:noProof/>
                <w:webHidden/>
              </w:rPr>
              <w:instrText xml:space="preserve"> PAGEREF _Toc432788914 \h </w:instrText>
            </w:r>
            <w:r w:rsidR="00DF0F94">
              <w:rPr>
                <w:noProof/>
                <w:webHidden/>
              </w:rPr>
            </w:r>
            <w:r w:rsidR="00DF0F94">
              <w:rPr>
                <w:noProof/>
                <w:webHidden/>
              </w:rPr>
              <w:fldChar w:fldCharType="separate"/>
            </w:r>
            <w:r>
              <w:rPr>
                <w:noProof/>
                <w:webHidden/>
              </w:rPr>
              <w:t>12</w:t>
            </w:r>
            <w:r w:rsidR="00DF0F94">
              <w:rPr>
                <w:noProof/>
                <w:webHidden/>
              </w:rPr>
              <w:fldChar w:fldCharType="end"/>
            </w:r>
          </w:hyperlink>
        </w:p>
        <w:p w:rsidR="00DF0F94" w:rsidRDefault="00D345CE">
          <w:pPr>
            <w:pStyle w:val="TM2"/>
            <w:tabs>
              <w:tab w:val="right" w:leader="dot" w:pos="9736"/>
            </w:tabs>
            <w:rPr>
              <w:noProof/>
            </w:rPr>
          </w:pPr>
          <w:hyperlink w:anchor="_Toc432788915" w:history="1">
            <w:r w:rsidR="00DF0F94" w:rsidRPr="00204D38">
              <w:rPr>
                <w:rStyle w:val="Lienhypertexte"/>
                <w:noProof/>
              </w:rPr>
              <w:t>Section 2 : Les dispositifs permettant le départ en formation</w:t>
            </w:r>
            <w:r w:rsidR="00DF0F94">
              <w:rPr>
                <w:noProof/>
                <w:webHidden/>
              </w:rPr>
              <w:tab/>
            </w:r>
            <w:r w:rsidR="00DF0F94">
              <w:rPr>
                <w:noProof/>
                <w:webHidden/>
              </w:rPr>
              <w:fldChar w:fldCharType="begin"/>
            </w:r>
            <w:r w:rsidR="00DF0F94">
              <w:rPr>
                <w:noProof/>
                <w:webHidden/>
              </w:rPr>
              <w:instrText xml:space="preserve"> PAGEREF _Toc432788915 \h </w:instrText>
            </w:r>
            <w:r w:rsidR="00DF0F94">
              <w:rPr>
                <w:noProof/>
                <w:webHidden/>
              </w:rPr>
            </w:r>
            <w:r w:rsidR="00DF0F94">
              <w:rPr>
                <w:noProof/>
                <w:webHidden/>
              </w:rPr>
              <w:fldChar w:fldCharType="separate"/>
            </w:r>
            <w:r>
              <w:rPr>
                <w:noProof/>
                <w:webHidden/>
              </w:rPr>
              <w:t>13</w:t>
            </w:r>
            <w:r w:rsidR="00DF0F94">
              <w:rPr>
                <w:noProof/>
                <w:webHidden/>
              </w:rPr>
              <w:fldChar w:fldCharType="end"/>
            </w:r>
          </w:hyperlink>
        </w:p>
        <w:p w:rsidR="00DF0F94" w:rsidRDefault="00D345CE">
          <w:pPr>
            <w:pStyle w:val="TM2"/>
            <w:tabs>
              <w:tab w:val="right" w:leader="dot" w:pos="9736"/>
            </w:tabs>
            <w:rPr>
              <w:noProof/>
            </w:rPr>
          </w:pPr>
          <w:hyperlink w:anchor="_Toc432788916" w:history="1">
            <w:r w:rsidR="00DF0F94" w:rsidRPr="00204D38">
              <w:rPr>
                <w:rStyle w:val="Lienhypertexte"/>
                <w:noProof/>
              </w:rPr>
              <w:t>3.5 Le Plan de formation</w:t>
            </w:r>
            <w:r w:rsidR="00DF0F94">
              <w:rPr>
                <w:noProof/>
                <w:webHidden/>
              </w:rPr>
              <w:tab/>
            </w:r>
            <w:r w:rsidR="00DF0F94">
              <w:rPr>
                <w:noProof/>
                <w:webHidden/>
              </w:rPr>
              <w:fldChar w:fldCharType="begin"/>
            </w:r>
            <w:r w:rsidR="00DF0F94">
              <w:rPr>
                <w:noProof/>
                <w:webHidden/>
              </w:rPr>
              <w:instrText xml:space="preserve"> PAGEREF _Toc432788916 \h </w:instrText>
            </w:r>
            <w:r w:rsidR="00DF0F94">
              <w:rPr>
                <w:noProof/>
                <w:webHidden/>
              </w:rPr>
            </w:r>
            <w:r w:rsidR="00DF0F94">
              <w:rPr>
                <w:noProof/>
                <w:webHidden/>
              </w:rPr>
              <w:fldChar w:fldCharType="separate"/>
            </w:r>
            <w:r>
              <w:rPr>
                <w:noProof/>
                <w:webHidden/>
              </w:rPr>
              <w:t>13</w:t>
            </w:r>
            <w:r w:rsidR="00DF0F94">
              <w:rPr>
                <w:noProof/>
                <w:webHidden/>
              </w:rPr>
              <w:fldChar w:fldCharType="end"/>
            </w:r>
          </w:hyperlink>
        </w:p>
        <w:p w:rsidR="00DF0F94" w:rsidRDefault="00D345CE">
          <w:pPr>
            <w:pStyle w:val="TM2"/>
            <w:tabs>
              <w:tab w:val="right" w:leader="dot" w:pos="9736"/>
            </w:tabs>
            <w:rPr>
              <w:noProof/>
            </w:rPr>
          </w:pPr>
          <w:hyperlink w:anchor="_Toc432788917" w:history="1">
            <w:r w:rsidR="00DF0F94" w:rsidRPr="00204D38">
              <w:rPr>
                <w:rStyle w:val="Lienhypertexte"/>
                <w:noProof/>
              </w:rPr>
              <w:t>3.6 Le Compte Personnel de Formation (CPF)</w:t>
            </w:r>
            <w:r w:rsidR="00DF0F94">
              <w:rPr>
                <w:noProof/>
                <w:webHidden/>
              </w:rPr>
              <w:tab/>
            </w:r>
            <w:r w:rsidR="00DF0F94">
              <w:rPr>
                <w:noProof/>
                <w:webHidden/>
              </w:rPr>
              <w:fldChar w:fldCharType="begin"/>
            </w:r>
            <w:r w:rsidR="00DF0F94">
              <w:rPr>
                <w:noProof/>
                <w:webHidden/>
              </w:rPr>
              <w:instrText xml:space="preserve"> PAGEREF _Toc432788917 \h </w:instrText>
            </w:r>
            <w:r w:rsidR="00DF0F94">
              <w:rPr>
                <w:noProof/>
                <w:webHidden/>
              </w:rPr>
            </w:r>
            <w:r w:rsidR="00DF0F94">
              <w:rPr>
                <w:noProof/>
                <w:webHidden/>
              </w:rPr>
              <w:fldChar w:fldCharType="separate"/>
            </w:r>
            <w:r>
              <w:rPr>
                <w:noProof/>
                <w:webHidden/>
              </w:rPr>
              <w:t>13</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18" w:history="1">
            <w:r w:rsidR="00DF0F94" w:rsidRPr="00204D38">
              <w:rPr>
                <w:rStyle w:val="Lienhypertexte"/>
                <w:noProof/>
              </w:rPr>
              <w:t>3.6.1 Solde des compteurs DIF au 31 décembre 2014</w:t>
            </w:r>
            <w:r w:rsidR="00DF0F94">
              <w:rPr>
                <w:noProof/>
                <w:webHidden/>
              </w:rPr>
              <w:tab/>
            </w:r>
            <w:r w:rsidR="00DF0F94">
              <w:rPr>
                <w:noProof/>
                <w:webHidden/>
              </w:rPr>
              <w:fldChar w:fldCharType="begin"/>
            </w:r>
            <w:r w:rsidR="00DF0F94">
              <w:rPr>
                <w:noProof/>
                <w:webHidden/>
              </w:rPr>
              <w:instrText xml:space="preserve"> PAGEREF _Toc432788918 \h </w:instrText>
            </w:r>
            <w:r w:rsidR="00DF0F94">
              <w:rPr>
                <w:noProof/>
                <w:webHidden/>
              </w:rPr>
            </w:r>
            <w:r w:rsidR="00DF0F94">
              <w:rPr>
                <w:noProof/>
                <w:webHidden/>
              </w:rPr>
              <w:fldChar w:fldCharType="separate"/>
            </w:r>
            <w:r>
              <w:rPr>
                <w:noProof/>
                <w:webHidden/>
              </w:rPr>
              <w:t>13</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19" w:history="1">
            <w:r w:rsidR="00DF0F94" w:rsidRPr="00204D38">
              <w:rPr>
                <w:rStyle w:val="Lienhypertexte"/>
                <w:noProof/>
              </w:rPr>
              <w:t>3.6.2 Alimentation du compte et calcul des droits au CPF</w:t>
            </w:r>
            <w:r w:rsidR="00DF0F94">
              <w:rPr>
                <w:noProof/>
                <w:webHidden/>
              </w:rPr>
              <w:tab/>
            </w:r>
            <w:r w:rsidR="00DF0F94">
              <w:rPr>
                <w:noProof/>
                <w:webHidden/>
              </w:rPr>
              <w:fldChar w:fldCharType="begin"/>
            </w:r>
            <w:r w:rsidR="00DF0F94">
              <w:rPr>
                <w:noProof/>
                <w:webHidden/>
              </w:rPr>
              <w:instrText xml:space="preserve"> PAGEREF _Toc432788919 \h </w:instrText>
            </w:r>
            <w:r w:rsidR="00DF0F94">
              <w:rPr>
                <w:noProof/>
                <w:webHidden/>
              </w:rPr>
            </w:r>
            <w:r w:rsidR="00DF0F94">
              <w:rPr>
                <w:noProof/>
                <w:webHidden/>
              </w:rPr>
              <w:fldChar w:fldCharType="separate"/>
            </w:r>
            <w:r>
              <w:rPr>
                <w:noProof/>
                <w:webHidden/>
              </w:rPr>
              <w:t>14</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20" w:history="1">
            <w:r w:rsidR="00DF0F94" w:rsidRPr="00204D38">
              <w:rPr>
                <w:rStyle w:val="Lienhypertexte"/>
                <w:noProof/>
              </w:rPr>
              <w:t>3.6.3 Les formations éligibles au CPF</w:t>
            </w:r>
            <w:r w:rsidR="00DF0F94">
              <w:rPr>
                <w:noProof/>
                <w:webHidden/>
              </w:rPr>
              <w:tab/>
            </w:r>
            <w:r w:rsidR="00DF0F94">
              <w:rPr>
                <w:noProof/>
                <w:webHidden/>
              </w:rPr>
              <w:fldChar w:fldCharType="begin"/>
            </w:r>
            <w:r w:rsidR="00DF0F94">
              <w:rPr>
                <w:noProof/>
                <w:webHidden/>
              </w:rPr>
              <w:instrText xml:space="preserve"> PAGEREF _Toc432788920 \h </w:instrText>
            </w:r>
            <w:r w:rsidR="00DF0F94">
              <w:rPr>
                <w:noProof/>
                <w:webHidden/>
              </w:rPr>
            </w:r>
            <w:r w:rsidR="00DF0F94">
              <w:rPr>
                <w:noProof/>
                <w:webHidden/>
              </w:rPr>
              <w:fldChar w:fldCharType="separate"/>
            </w:r>
            <w:r>
              <w:rPr>
                <w:noProof/>
                <w:webHidden/>
              </w:rPr>
              <w:t>14</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21" w:history="1">
            <w:r w:rsidR="00DF0F94" w:rsidRPr="00204D38">
              <w:rPr>
                <w:rStyle w:val="Lienhypertexte"/>
                <w:noProof/>
              </w:rPr>
              <w:t>3.6.4 Modalités de mobilisation du CPF</w:t>
            </w:r>
            <w:r w:rsidR="00DF0F94">
              <w:rPr>
                <w:noProof/>
                <w:webHidden/>
              </w:rPr>
              <w:tab/>
            </w:r>
            <w:r w:rsidR="00DF0F94">
              <w:rPr>
                <w:noProof/>
                <w:webHidden/>
              </w:rPr>
              <w:fldChar w:fldCharType="begin"/>
            </w:r>
            <w:r w:rsidR="00DF0F94">
              <w:rPr>
                <w:noProof/>
                <w:webHidden/>
              </w:rPr>
              <w:instrText xml:space="preserve"> PAGEREF _Toc432788921 \h </w:instrText>
            </w:r>
            <w:r w:rsidR="00DF0F94">
              <w:rPr>
                <w:noProof/>
                <w:webHidden/>
              </w:rPr>
            </w:r>
            <w:r w:rsidR="00DF0F94">
              <w:rPr>
                <w:noProof/>
                <w:webHidden/>
              </w:rPr>
              <w:fldChar w:fldCharType="separate"/>
            </w:r>
            <w:r>
              <w:rPr>
                <w:noProof/>
                <w:webHidden/>
              </w:rPr>
              <w:t>14</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22" w:history="1">
            <w:r w:rsidR="00DF0F94" w:rsidRPr="00204D38">
              <w:rPr>
                <w:rStyle w:val="Lienhypertexte"/>
                <w:noProof/>
              </w:rPr>
              <w:t>3.6.5 Financement des actions de formation engagées au titre du CPF et articulation avec les autres dispositifs de la FPC</w:t>
            </w:r>
            <w:r w:rsidR="00DF0F94">
              <w:rPr>
                <w:noProof/>
                <w:webHidden/>
              </w:rPr>
              <w:tab/>
            </w:r>
            <w:r w:rsidR="00DF0F94">
              <w:rPr>
                <w:noProof/>
                <w:webHidden/>
              </w:rPr>
              <w:fldChar w:fldCharType="begin"/>
            </w:r>
            <w:r w:rsidR="00DF0F94">
              <w:rPr>
                <w:noProof/>
                <w:webHidden/>
              </w:rPr>
              <w:instrText xml:space="preserve"> PAGEREF _Toc432788922 \h </w:instrText>
            </w:r>
            <w:r w:rsidR="00DF0F94">
              <w:rPr>
                <w:noProof/>
                <w:webHidden/>
              </w:rPr>
            </w:r>
            <w:r w:rsidR="00DF0F94">
              <w:rPr>
                <w:noProof/>
                <w:webHidden/>
              </w:rPr>
              <w:fldChar w:fldCharType="separate"/>
            </w:r>
            <w:r>
              <w:rPr>
                <w:noProof/>
                <w:webHidden/>
              </w:rPr>
              <w:t>14</w:t>
            </w:r>
            <w:r w:rsidR="00DF0F94">
              <w:rPr>
                <w:noProof/>
                <w:webHidden/>
              </w:rPr>
              <w:fldChar w:fldCharType="end"/>
            </w:r>
          </w:hyperlink>
        </w:p>
        <w:p w:rsidR="00DF0F94" w:rsidRDefault="00D345CE">
          <w:pPr>
            <w:pStyle w:val="TM2"/>
            <w:tabs>
              <w:tab w:val="right" w:leader="dot" w:pos="9736"/>
            </w:tabs>
            <w:rPr>
              <w:noProof/>
            </w:rPr>
          </w:pPr>
          <w:hyperlink w:anchor="_Toc432788923" w:history="1">
            <w:r w:rsidR="00DF0F94" w:rsidRPr="00204D38">
              <w:rPr>
                <w:rStyle w:val="Lienhypertexte"/>
                <w:noProof/>
              </w:rPr>
              <w:t>3.7 La période de professionnalisation</w:t>
            </w:r>
            <w:r w:rsidR="00DF0F94">
              <w:rPr>
                <w:noProof/>
                <w:webHidden/>
              </w:rPr>
              <w:tab/>
            </w:r>
            <w:r w:rsidR="00DF0F94">
              <w:rPr>
                <w:noProof/>
                <w:webHidden/>
              </w:rPr>
              <w:fldChar w:fldCharType="begin"/>
            </w:r>
            <w:r w:rsidR="00DF0F94">
              <w:rPr>
                <w:noProof/>
                <w:webHidden/>
              </w:rPr>
              <w:instrText xml:space="preserve"> PAGEREF _Toc432788923 \h </w:instrText>
            </w:r>
            <w:r w:rsidR="00DF0F94">
              <w:rPr>
                <w:noProof/>
                <w:webHidden/>
              </w:rPr>
            </w:r>
            <w:r w:rsidR="00DF0F94">
              <w:rPr>
                <w:noProof/>
                <w:webHidden/>
              </w:rPr>
              <w:fldChar w:fldCharType="separate"/>
            </w:r>
            <w:r>
              <w:rPr>
                <w:noProof/>
                <w:webHidden/>
              </w:rPr>
              <w:t>15</w:t>
            </w:r>
            <w:r w:rsidR="00DF0F94">
              <w:rPr>
                <w:noProof/>
                <w:webHidden/>
              </w:rPr>
              <w:fldChar w:fldCharType="end"/>
            </w:r>
          </w:hyperlink>
        </w:p>
        <w:p w:rsidR="00DF0F94" w:rsidRDefault="00D345CE">
          <w:pPr>
            <w:pStyle w:val="TM2"/>
            <w:tabs>
              <w:tab w:val="right" w:leader="dot" w:pos="9736"/>
            </w:tabs>
            <w:rPr>
              <w:noProof/>
            </w:rPr>
          </w:pPr>
          <w:hyperlink w:anchor="_Toc432788924" w:history="1">
            <w:r w:rsidR="00DF0F94" w:rsidRPr="00204D38">
              <w:rPr>
                <w:rStyle w:val="Lienhypertexte"/>
                <w:noProof/>
              </w:rPr>
              <w:t>3.8 Le contrat de professionnalisation</w:t>
            </w:r>
            <w:r w:rsidR="00DF0F94">
              <w:rPr>
                <w:noProof/>
                <w:webHidden/>
              </w:rPr>
              <w:tab/>
            </w:r>
            <w:r w:rsidR="00DF0F94">
              <w:rPr>
                <w:noProof/>
                <w:webHidden/>
              </w:rPr>
              <w:fldChar w:fldCharType="begin"/>
            </w:r>
            <w:r w:rsidR="00DF0F94">
              <w:rPr>
                <w:noProof/>
                <w:webHidden/>
              </w:rPr>
              <w:instrText xml:space="preserve"> PAGEREF _Toc432788924 \h </w:instrText>
            </w:r>
            <w:r w:rsidR="00DF0F94">
              <w:rPr>
                <w:noProof/>
                <w:webHidden/>
              </w:rPr>
            </w:r>
            <w:r w:rsidR="00DF0F94">
              <w:rPr>
                <w:noProof/>
                <w:webHidden/>
              </w:rPr>
              <w:fldChar w:fldCharType="separate"/>
            </w:r>
            <w:r>
              <w:rPr>
                <w:noProof/>
                <w:webHidden/>
              </w:rPr>
              <w:t>15</w:t>
            </w:r>
            <w:r w:rsidR="00DF0F94">
              <w:rPr>
                <w:noProof/>
                <w:webHidden/>
              </w:rPr>
              <w:fldChar w:fldCharType="end"/>
            </w:r>
          </w:hyperlink>
        </w:p>
        <w:p w:rsidR="00DF0F94" w:rsidRDefault="00D345CE">
          <w:pPr>
            <w:pStyle w:val="TM2"/>
            <w:tabs>
              <w:tab w:val="right" w:leader="dot" w:pos="9736"/>
            </w:tabs>
            <w:rPr>
              <w:noProof/>
            </w:rPr>
          </w:pPr>
          <w:hyperlink w:anchor="_Toc432788925" w:history="1">
            <w:r w:rsidR="00DF0F94" w:rsidRPr="00204D38">
              <w:rPr>
                <w:rStyle w:val="Lienhypertexte"/>
                <w:noProof/>
              </w:rPr>
              <w:t>3.9 Le Congé Individuel de Formation (CIF)</w:t>
            </w:r>
            <w:r w:rsidR="00DF0F94">
              <w:rPr>
                <w:noProof/>
                <w:webHidden/>
              </w:rPr>
              <w:tab/>
            </w:r>
            <w:r w:rsidR="00DF0F94">
              <w:rPr>
                <w:noProof/>
                <w:webHidden/>
              </w:rPr>
              <w:fldChar w:fldCharType="begin"/>
            </w:r>
            <w:r w:rsidR="00DF0F94">
              <w:rPr>
                <w:noProof/>
                <w:webHidden/>
              </w:rPr>
              <w:instrText xml:space="preserve"> PAGEREF _Toc432788925 \h </w:instrText>
            </w:r>
            <w:r w:rsidR="00DF0F94">
              <w:rPr>
                <w:noProof/>
                <w:webHidden/>
              </w:rPr>
            </w:r>
            <w:r w:rsidR="00DF0F94">
              <w:rPr>
                <w:noProof/>
                <w:webHidden/>
              </w:rPr>
              <w:fldChar w:fldCharType="separate"/>
            </w:r>
            <w:r>
              <w:rPr>
                <w:noProof/>
                <w:webHidden/>
              </w:rPr>
              <w:t>16</w:t>
            </w:r>
            <w:r w:rsidR="00DF0F94">
              <w:rPr>
                <w:noProof/>
                <w:webHidden/>
              </w:rPr>
              <w:fldChar w:fldCharType="end"/>
            </w:r>
          </w:hyperlink>
        </w:p>
        <w:p w:rsidR="00DF0F94" w:rsidRDefault="00D345CE">
          <w:pPr>
            <w:pStyle w:val="TM2"/>
            <w:tabs>
              <w:tab w:val="right" w:leader="dot" w:pos="9736"/>
            </w:tabs>
            <w:rPr>
              <w:noProof/>
            </w:rPr>
          </w:pPr>
          <w:hyperlink w:anchor="_Toc432788926" w:history="1">
            <w:r w:rsidR="00DF0F94" w:rsidRPr="00204D38">
              <w:rPr>
                <w:rStyle w:val="Lienhypertexte"/>
                <w:noProof/>
              </w:rPr>
              <w:t>Section 3 : Les Institutions Représentatives du Personnel</w:t>
            </w:r>
            <w:r w:rsidR="00DF0F94">
              <w:rPr>
                <w:noProof/>
                <w:webHidden/>
              </w:rPr>
              <w:tab/>
            </w:r>
            <w:r w:rsidR="00DF0F94">
              <w:rPr>
                <w:noProof/>
                <w:webHidden/>
              </w:rPr>
              <w:fldChar w:fldCharType="begin"/>
            </w:r>
            <w:r w:rsidR="00DF0F94">
              <w:rPr>
                <w:noProof/>
                <w:webHidden/>
              </w:rPr>
              <w:instrText xml:space="preserve"> PAGEREF _Toc432788926 \h </w:instrText>
            </w:r>
            <w:r w:rsidR="00DF0F94">
              <w:rPr>
                <w:noProof/>
                <w:webHidden/>
              </w:rPr>
            </w:r>
            <w:r w:rsidR="00DF0F94">
              <w:rPr>
                <w:noProof/>
                <w:webHidden/>
              </w:rPr>
              <w:fldChar w:fldCharType="separate"/>
            </w:r>
            <w:r>
              <w:rPr>
                <w:noProof/>
                <w:webHidden/>
              </w:rPr>
              <w:t>16</w:t>
            </w:r>
            <w:r w:rsidR="00DF0F94">
              <w:rPr>
                <w:noProof/>
                <w:webHidden/>
              </w:rPr>
              <w:fldChar w:fldCharType="end"/>
            </w:r>
          </w:hyperlink>
        </w:p>
        <w:p w:rsidR="00DF0F94" w:rsidRDefault="00D345CE">
          <w:pPr>
            <w:pStyle w:val="TM2"/>
            <w:tabs>
              <w:tab w:val="right" w:leader="dot" w:pos="9736"/>
            </w:tabs>
            <w:rPr>
              <w:noProof/>
            </w:rPr>
          </w:pPr>
          <w:hyperlink w:anchor="_Toc432788927" w:history="1">
            <w:r w:rsidR="00DF0F94" w:rsidRPr="00204D38">
              <w:rPr>
                <w:rStyle w:val="Lienhypertexte"/>
                <w:noProof/>
              </w:rPr>
              <w:t>Section 4 : Les dispositifs prioritaires ou spécifiques dans l’Interbranches</w:t>
            </w:r>
            <w:r w:rsidR="00DF0F94">
              <w:rPr>
                <w:noProof/>
                <w:webHidden/>
              </w:rPr>
              <w:tab/>
            </w:r>
            <w:r w:rsidR="00DF0F94">
              <w:rPr>
                <w:noProof/>
                <w:webHidden/>
              </w:rPr>
              <w:fldChar w:fldCharType="begin"/>
            </w:r>
            <w:r w:rsidR="00DF0F94">
              <w:rPr>
                <w:noProof/>
                <w:webHidden/>
              </w:rPr>
              <w:instrText xml:space="preserve"> PAGEREF _Toc432788927 \h </w:instrText>
            </w:r>
            <w:r w:rsidR="00DF0F94">
              <w:rPr>
                <w:noProof/>
                <w:webHidden/>
              </w:rPr>
            </w:r>
            <w:r w:rsidR="00DF0F94">
              <w:rPr>
                <w:noProof/>
                <w:webHidden/>
              </w:rPr>
              <w:fldChar w:fldCharType="separate"/>
            </w:r>
            <w:r>
              <w:rPr>
                <w:noProof/>
                <w:webHidden/>
              </w:rPr>
              <w:t>17</w:t>
            </w:r>
            <w:r w:rsidR="00DF0F94">
              <w:rPr>
                <w:noProof/>
                <w:webHidden/>
              </w:rPr>
              <w:fldChar w:fldCharType="end"/>
            </w:r>
          </w:hyperlink>
        </w:p>
        <w:p w:rsidR="00DF0F94" w:rsidRDefault="00D345CE">
          <w:pPr>
            <w:pStyle w:val="TM2"/>
            <w:tabs>
              <w:tab w:val="right" w:leader="dot" w:pos="9736"/>
            </w:tabs>
            <w:rPr>
              <w:noProof/>
            </w:rPr>
          </w:pPr>
          <w:hyperlink w:anchor="_Toc432788928" w:history="1">
            <w:r w:rsidR="00DF0F94" w:rsidRPr="00204D38">
              <w:rPr>
                <w:rStyle w:val="Lienhypertexte"/>
                <w:noProof/>
              </w:rPr>
              <w:t>3.10 L’accès et la maîtrise du socle de connaissances et de compétences professionnelles</w:t>
            </w:r>
            <w:r w:rsidR="00DF0F94">
              <w:rPr>
                <w:noProof/>
                <w:webHidden/>
              </w:rPr>
              <w:tab/>
            </w:r>
            <w:r w:rsidR="00DF0F94">
              <w:rPr>
                <w:noProof/>
                <w:webHidden/>
              </w:rPr>
              <w:fldChar w:fldCharType="begin"/>
            </w:r>
            <w:r w:rsidR="00DF0F94">
              <w:rPr>
                <w:noProof/>
                <w:webHidden/>
              </w:rPr>
              <w:instrText xml:space="preserve"> PAGEREF _Toc432788928 \h </w:instrText>
            </w:r>
            <w:r w:rsidR="00DF0F94">
              <w:rPr>
                <w:noProof/>
                <w:webHidden/>
              </w:rPr>
            </w:r>
            <w:r w:rsidR="00DF0F94">
              <w:rPr>
                <w:noProof/>
                <w:webHidden/>
              </w:rPr>
              <w:fldChar w:fldCharType="separate"/>
            </w:r>
            <w:r>
              <w:rPr>
                <w:noProof/>
                <w:webHidden/>
              </w:rPr>
              <w:t>17</w:t>
            </w:r>
            <w:r w:rsidR="00DF0F94">
              <w:rPr>
                <w:noProof/>
                <w:webHidden/>
              </w:rPr>
              <w:fldChar w:fldCharType="end"/>
            </w:r>
          </w:hyperlink>
        </w:p>
        <w:p w:rsidR="00DF0F94" w:rsidRDefault="00D345CE">
          <w:pPr>
            <w:pStyle w:val="TM2"/>
            <w:tabs>
              <w:tab w:val="right" w:leader="dot" w:pos="9736"/>
            </w:tabs>
            <w:rPr>
              <w:noProof/>
            </w:rPr>
          </w:pPr>
          <w:hyperlink w:anchor="_Toc432788929" w:history="1">
            <w:r w:rsidR="00DF0F94" w:rsidRPr="00204D38">
              <w:rPr>
                <w:rStyle w:val="Lienhypertexte"/>
                <w:noProof/>
              </w:rPr>
              <w:t>3.11 Les actions de Validation des Acquis de l’Expérience (VAE)</w:t>
            </w:r>
            <w:r w:rsidR="00DF0F94">
              <w:rPr>
                <w:noProof/>
                <w:webHidden/>
              </w:rPr>
              <w:tab/>
            </w:r>
            <w:r w:rsidR="00DF0F94">
              <w:rPr>
                <w:noProof/>
                <w:webHidden/>
              </w:rPr>
              <w:fldChar w:fldCharType="begin"/>
            </w:r>
            <w:r w:rsidR="00DF0F94">
              <w:rPr>
                <w:noProof/>
                <w:webHidden/>
              </w:rPr>
              <w:instrText xml:space="preserve"> PAGEREF _Toc432788929 \h </w:instrText>
            </w:r>
            <w:r w:rsidR="00DF0F94">
              <w:rPr>
                <w:noProof/>
                <w:webHidden/>
              </w:rPr>
            </w:r>
            <w:r w:rsidR="00DF0F94">
              <w:rPr>
                <w:noProof/>
                <w:webHidden/>
              </w:rPr>
              <w:fldChar w:fldCharType="separate"/>
            </w:r>
            <w:r>
              <w:rPr>
                <w:noProof/>
                <w:webHidden/>
              </w:rPr>
              <w:t>17</w:t>
            </w:r>
            <w:r w:rsidR="00DF0F94">
              <w:rPr>
                <w:noProof/>
                <w:webHidden/>
              </w:rPr>
              <w:fldChar w:fldCharType="end"/>
            </w:r>
          </w:hyperlink>
        </w:p>
        <w:p w:rsidR="00DF0F94" w:rsidRDefault="00D345CE">
          <w:pPr>
            <w:pStyle w:val="TM2"/>
            <w:tabs>
              <w:tab w:val="right" w:leader="dot" w:pos="9736"/>
            </w:tabs>
            <w:rPr>
              <w:noProof/>
            </w:rPr>
          </w:pPr>
          <w:hyperlink w:anchor="_Toc432788930" w:history="1">
            <w:r w:rsidR="00DF0F94" w:rsidRPr="00204D38">
              <w:rPr>
                <w:rStyle w:val="Lienhypertexte"/>
                <w:noProof/>
              </w:rPr>
              <w:t>3.12 Les Certificats de qualification professionnelle (CQP)</w:t>
            </w:r>
            <w:r w:rsidR="00DF0F94">
              <w:rPr>
                <w:noProof/>
                <w:webHidden/>
              </w:rPr>
              <w:tab/>
            </w:r>
            <w:r w:rsidR="00DF0F94">
              <w:rPr>
                <w:noProof/>
                <w:webHidden/>
              </w:rPr>
              <w:fldChar w:fldCharType="begin"/>
            </w:r>
            <w:r w:rsidR="00DF0F94">
              <w:rPr>
                <w:noProof/>
                <w:webHidden/>
              </w:rPr>
              <w:instrText xml:space="preserve"> PAGEREF _Toc432788930 \h </w:instrText>
            </w:r>
            <w:r w:rsidR="00DF0F94">
              <w:rPr>
                <w:noProof/>
                <w:webHidden/>
              </w:rPr>
            </w:r>
            <w:r w:rsidR="00DF0F94">
              <w:rPr>
                <w:noProof/>
                <w:webHidden/>
              </w:rPr>
              <w:fldChar w:fldCharType="separate"/>
            </w:r>
            <w:r>
              <w:rPr>
                <w:noProof/>
                <w:webHidden/>
              </w:rPr>
              <w:t>17</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31" w:history="1">
            <w:r w:rsidR="00DF0F94" w:rsidRPr="00204D38">
              <w:rPr>
                <w:rStyle w:val="Lienhypertexte"/>
                <w:noProof/>
              </w:rPr>
              <w:t>3.12.1 Définition du CQP</w:t>
            </w:r>
            <w:r w:rsidR="00DF0F94">
              <w:rPr>
                <w:noProof/>
                <w:webHidden/>
              </w:rPr>
              <w:tab/>
            </w:r>
            <w:r w:rsidR="00DF0F94">
              <w:rPr>
                <w:noProof/>
                <w:webHidden/>
              </w:rPr>
              <w:fldChar w:fldCharType="begin"/>
            </w:r>
            <w:r w:rsidR="00DF0F94">
              <w:rPr>
                <w:noProof/>
                <w:webHidden/>
              </w:rPr>
              <w:instrText xml:space="preserve"> PAGEREF _Toc432788931 \h </w:instrText>
            </w:r>
            <w:r w:rsidR="00DF0F94">
              <w:rPr>
                <w:noProof/>
                <w:webHidden/>
              </w:rPr>
            </w:r>
            <w:r w:rsidR="00DF0F94">
              <w:rPr>
                <w:noProof/>
                <w:webHidden/>
              </w:rPr>
              <w:fldChar w:fldCharType="separate"/>
            </w:r>
            <w:r>
              <w:rPr>
                <w:noProof/>
                <w:webHidden/>
              </w:rPr>
              <w:t>18</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32" w:history="1">
            <w:r w:rsidR="00DF0F94" w:rsidRPr="00204D38">
              <w:rPr>
                <w:rStyle w:val="Lienhypertexte"/>
                <w:noProof/>
              </w:rPr>
              <w:t>3.12.2 Formalisation initiale lors de l’entrée dans la démarche CQP</w:t>
            </w:r>
            <w:r w:rsidR="00DF0F94">
              <w:rPr>
                <w:noProof/>
                <w:webHidden/>
              </w:rPr>
              <w:tab/>
            </w:r>
            <w:r w:rsidR="00DF0F94">
              <w:rPr>
                <w:noProof/>
                <w:webHidden/>
              </w:rPr>
              <w:fldChar w:fldCharType="begin"/>
            </w:r>
            <w:r w:rsidR="00DF0F94">
              <w:rPr>
                <w:noProof/>
                <w:webHidden/>
              </w:rPr>
              <w:instrText xml:space="preserve"> PAGEREF _Toc432788932 \h </w:instrText>
            </w:r>
            <w:r w:rsidR="00DF0F94">
              <w:rPr>
                <w:noProof/>
                <w:webHidden/>
              </w:rPr>
            </w:r>
            <w:r w:rsidR="00DF0F94">
              <w:rPr>
                <w:noProof/>
                <w:webHidden/>
              </w:rPr>
              <w:fldChar w:fldCharType="separate"/>
            </w:r>
            <w:r>
              <w:rPr>
                <w:noProof/>
                <w:webHidden/>
              </w:rPr>
              <w:t>18</w:t>
            </w:r>
            <w:r w:rsidR="00DF0F94">
              <w:rPr>
                <w:noProof/>
                <w:webHidden/>
              </w:rPr>
              <w:fldChar w:fldCharType="end"/>
            </w:r>
          </w:hyperlink>
        </w:p>
        <w:p w:rsidR="00DF0F94" w:rsidRDefault="00D345CE">
          <w:pPr>
            <w:pStyle w:val="TM2"/>
            <w:tabs>
              <w:tab w:val="right" w:leader="dot" w:pos="9736"/>
            </w:tabs>
            <w:rPr>
              <w:noProof/>
            </w:rPr>
          </w:pPr>
          <w:hyperlink w:anchor="_Toc432788933" w:history="1">
            <w:r w:rsidR="00DF0F94" w:rsidRPr="00204D38">
              <w:rPr>
                <w:rStyle w:val="Lienhypertexte"/>
                <w:noProof/>
              </w:rPr>
              <w:t>3.13 Les titres à finalité professionnelle</w:t>
            </w:r>
            <w:r w:rsidR="00DF0F94">
              <w:rPr>
                <w:noProof/>
                <w:webHidden/>
              </w:rPr>
              <w:tab/>
            </w:r>
            <w:r w:rsidR="00DF0F94">
              <w:rPr>
                <w:noProof/>
                <w:webHidden/>
              </w:rPr>
              <w:fldChar w:fldCharType="begin"/>
            </w:r>
            <w:r w:rsidR="00DF0F94">
              <w:rPr>
                <w:noProof/>
                <w:webHidden/>
              </w:rPr>
              <w:instrText xml:space="preserve"> PAGEREF _Toc432788933 \h </w:instrText>
            </w:r>
            <w:r w:rsidR="00DF0F94">
              <w:rPr>
                <w:noProof/>
                <w:webHidden/>
              </w:rPr>
            </w:r>
            <w:r w:rsidR="00DF0F94">
              <w:rPr>
                <w:noProof/>
                <w:webHidden/>
              </w:rPr>
              <w:fldChar w:fldCharType="separate"/>
            </w:r>
            <w:r>
              <w:rPr>
                <w:noProof/>
                <w:webHidden/>
              </w:rPr>
              <w:t>19</w:t>
            </w:r>
            <w:r w:rsidR="00DF0F94">
              <w:rPr>
                <w:noProof/>
                <w:webHidden/>
              </w:rPr>
              <w:fldChar w:fldCharType="end"/>
            </w:r>
          </w:hyperlink>
        </w:p>
        <w:p w:rsidR="00DF0F94" w:rsidRDefault="00D345CE">
          <w:pPr>
            <w:pStyle w:val="TM2"/>
            <w:tabs>
              <w:tab w:val="right" w:leader="dot" w:pos="9736"/>
            </w:tabs>
            <w:rPr>
              <w:noProof/>
            </w:rPr>
          </w:pPr>
          <w:hyperlink w:anchor="_Toc432788934" w:history="1">
            <w:r w:rsidR="00DF0F94" w:rsidRPr="00204D38">
              <w:rPr>
                <w:rStyle w:val="Lienhypertexte"/>
                <w:noProof/>
              </w:rPr>
              <w:t>3.14 La fonction tutorale et les missions d’accompagnement</w:t>
            </w:r>
            <w:r w:rsidR="00DF0F94">
              <w:rPr>
                <w:noProof/>
                <w:webHidden/>
              </w:rPr>
              <w:tab/>
            </w:r>
            <w:r w:rsidR="00DF0F94">
              <w:rPr>
                <w:noProof/>
                <w:webHidden/>
              </w:rPr>
              <w:fldChar w:fldCharType="begin"/>
            </w:r>
            <w:r w:rsidR="00DF0F94">
              <w:rPr>
                <w:noProof/>
                <w:webHidden/>
              </w:rPr>
              <w:instrText xml:space="preserve"> PAGEREF _Toc432788934 \h </w:instrText>
            </w:r>
            <w:r w:rsidR="00DF0F94">
              <w:rPr>
                <w:noProof/>
                <w:webHidden/>
              </w:rPr>
            </w:r>
            <w:r w:rsidR="00DF0F94">
              <w:rPr>
                <w:noProof/>
                <w:webHidden/>
              </w:rPr>
              <w:fldChar w:fldCharType="separate"/>
            </w:r>
            <w:r>
              <w:rPr>
                <w:noProof/>
                <w:webHidden/>
              </w:rPr>
              <w:t>19</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35" w:history="1">
            <w:r w:rsidR="00DF0F94" w:rsidRPr="00204D38">
              <w:rPr>
                <w:rStyle w:val="Lienhypertexte"/>
                <w:noProof/>
              </w:rPr>
              <w:t>3.14.1 Le tuteur</w:t>
            </w:r>
            <w:r w:rsidR="00DF0F94">
              <w:rPr>
                <w:noProof/>
                <w:webHidden/>
              </w:rPr>
              <w:tab/>
            </w:r>
            <w:r w:rsidR="00DF0F94">
              <w:rPr>
                <w:noProof/>
                <w:webHidden/>
              </w:rPr>
              <w:fldChar w:fldCharType="begin"/>
            </w:r>
            <w:r w:rsidR="00DF0F94">
              <w:rPr>
                <w:noProof/>
                <w:webHidden/>
              </w:rPr>
              <w:instrText xml:space="preserve"> PAGEREF _Toc432788935 \h </w:instrText>
            </w:r>
            <w:r w:rsidR="00DF0F94">
              <w:rPr>
                <w:noProof/>
                <w:webHidden/>
              </w:rPr>
            </w:r>
            <w:r w:rsidR="00DF0F94">
              <w:rPr>
                <w:noProof/>
                <w:webHidden/>
              </w:rPr>
              <w:fldChar w:fldCharType="separate"/>
            </w:r>
            <w:r>
              <w:rPr>
                <w:noProof/>
                <w:webHidden/>
              </w:rPr>
              <w:t>19</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36" w:history="1">
            <w:r w:rsidR="00DF0F94" w:rsidRPr="00204D38">
              <w:rPr>
                <w:rStyle w:val="Lienhypertexte"/>
                <w:noProof/>
              </w:rPr>
              <w:t>3.14.2 L’accompagnateur</w:t>
            </w:r>
            <w:r w:rsidR="00DF0F94">
              <w:rPr>
                <w:noProof/>
                <w:webHidden/>
              </w:rPr>
              <w:tab/>
            </w:r>
            <w:r w:rsidR="00DF0F94">
              <w:rPr>
                <w:noProof/>
                <w:webHidden/>
              </w:rPr>
              <w:fldChar w:fldCharType="begin"/>
            </w:r>
            <w:r w:rsidR="00DF0F94">
              <w:rPr>
                <w:noProof/>
                <w:webHidden/>
              </w:rPr>
              <w:instrText xml:space="preserve"> PAGEREF _Toc432788936 \h </w:instrText>
            </w:r>
            <w:r w:rsidR="00DF0F94">
              <w:rPr>
                <w:noProof/>
                <w:webHidden/>
              </w:rPr>
            </w:r>
            <w:r w:rsidR="00DF0F94">
              <w:rPr>
                <w:noProof/>
                <w:webHidden/>
              </w:rPr>
              <w:fldChar w:fldCharType="separate"/>
            </w:r>
            <w:r>
              <w:rPr>
                <w:noProof/>
                <w:webHidden/>
              </w:rPr>
              <w:t>19</w:t>
            </w:r>
            <w:r w:rsidR="00DF0F94">
              <w:rPr>
                <w:noProof/>
                <w:webHidden/>
              </w:rPr>
              <w:fldChar w:fldCharType="end"/>
            </w:r>
          </w:hyperlink>
        </w:p>
        <w:p w:rsidR="00DF0F94" w:rsidRDefault="00D345CE">
          <w:pPr>
            <w:pStyle w:val="TM2"/>
            <w:tabs>
              <w:tab w:val="right" w:leader="dot" w:pos="9736"/>
            </w:tabs>
            <w:rPr>
              <w:noProof/>
            </w:rPr>
          </w:pPr>
          <w:hyperlink w:anchor="_Toc432788937" w:history="1">
            <w:r w:rsidR="00DF0F94" w:rsidRPr="00204D38">
              <w:rPr>
                <w:rStyle w:val="Lienhypertexte"/>
                <w:noProof/>
              </w:rPr>
              <w:t>3.15 La formation à distance (FOAD)</w:t>
            </w:r>
            <w:r w:rsidR="00DF0F94">
              <w:rPr>
                <w:noProof/>
                <w:webHidden/>
              </w:rPr>
              <w:tab/>
            </w:r>
            <w:r w:rsidR="00DF0F94">
              <w:rPr>
                <w:noProof/>
                <w:webHidden/>
              </w:rPr>
              <w:fldChar w:fldCharType="begin"/>
            </w:r>
            <w:r w:rsidR="00DF0F94">
              <w:rPr>
                <w:noProof/>
                <w:webHidden/>
              </w:rPr>
              <w:instrText xml:space="preserve"> PAGEREF _Toc432788937 \h </w:instrText>
            </w:r>
            <w:r w:rsidR="00DF0F94">
              <w:rPr>
                <w:noProof/>
                <w:webHidden/>
              </w:rPr>
            </w:r>
            <w:r w:rsidR="00DF0F94">
              <w:rPr>
                <w:noProof/>
                <w:webHidden/>
              </w:rPr>
              <w:fldChar w:fldCharType="separate"/>
            </w:r>
            <w:r>
              <w:rPr>
                <w:noProof/>
                <w:webHidden/>
              </w:rPr>
              <w:t>20</w:t>
            </w:r>
            <w:r w:rsidR="00DF0F94">
              <w:rPr>
                <w:noProof/>
                <w:webHidden/>
              </w:rPr>
              <w:fldChar w:fldCharType="end"/>
            </w:r>
          </w:hyperlink>
        </w:p>
        <w:p w:rsidR="00DF0F94" w:rsidRDefault="00D345CE">
          <w:pPr>
            <w:pStyle w:val="TM1"/>
            <w:tabs>
              <w:tab w:val="left" w:pos="1320"/>
              <w:tab w:val="right" w:leader="dot" w:pos="9736"/>
            </w:tabs>
            <w:rPr>
              <w:rFonts w:eastAsiaTheme="minorEastAsia" w:cstheme="minorBidi"/>
              <w:noProof/>
              <w:szCs w:val="22"/>
              <w:lang w:eastAsia="fr-FR"/>
            </w:rPr>
          </w:pPr>
          <w:hyperlink w:anchor="_Toc432788938" w:history="1">
            <w:r w:rsidR="00DF0F94" w:rsidRPr="00204D38">
              <w:rPr>
                <w:rStyle w:val="Lienhypertexte"/>
                <w:noProof/>
              </w:rPr>
              <w:t>Chapitre 4</w:t>
            </w:r>
            <w:r w:rsidR="00DF0F94">
              <w:rPr>
                <w:rFonts w:eastAsiaTheme="minorEastAsia" w:cstheme="minorBidi"/>
                <w:noProof/>
                <w:szCs w:val="22"/>
                <w:lang w:eastAsia="fr-FR"/>
              </w:rPr>
              <w:tab/>
            </w:r>
            <w:r w:rsidR="00DF0F94" w:rsidRPr="00204D38">
              <w:rPr>
                <w:rStyle w:val="Lienhypertexte"/>
                <w:noProof/>
              </w:rPr>
              <w:t>Financement de la formation professionnelle continue</w:t>
            </w:r>
            <w:r w:rsidR="00DF0F94">
              <w:rPr>
                <w:noProof/>
                <w:webHidden/>
              </w:rPr>
              <w:tab/>
            </w:r>
            <w:r w:rsidR="00DF0F94">
              <w:rPr>
                <w:noProof/>
                <w:webHidden/>
              </w:rPr>
              <w:fldChar w:fldCharType="begin"/>
            </w:r>
            <w:r w:rsidR="00DF0F94">
              <w:rPr>
                <w:noProof/>
                <w:webHidden/>
              </w:rPr>
              <w:instrText xml:space="preserve"> PAGEREF _Toc432788938 \h </w:instrText>
            </w:r>
            <w:r w:rsidR="00DF0F94">
              <w:rPr>
                <w:noProof/>
                <w:webHidden/>
              </w:rPr>
            </w:r>
            <w:r w:rsidR="00DF0F94">
              <w:rPr>
                <w:noProof/>
                <w:webHidden/>
              </w:rPr>
              <w:fldChar w:fldCharType="separate"/>
            </w:r>
            <w:r>
              <w:rPr>
                <w:noProof/>
                <w:webHidden/>
              </w:rPr>
              <w:t>21</w:t>
            </w:r>
            <w:r w:rsidR="00DF0F94">
              <w:rPr>
                <w:noProof/>
                <w:webHidden/>
              </w:rPr>
              <w:fldChar w:fldCharType="end"/>
            </w:r>
          </w:hyperlink>
        </w:p>
        <w:p w:rsidR="00DF0F94" w:rsidRDefault="00D345CE">
          <w:pPr>
            <w:pStyle w:val="TM2"/>
            <w:tabs>
              <w:tab w:val="right" w:leader="dot" w:pos="9736"/>
            </w:tabs>
            <w:rPr>
              <w:noProof/>
            </w:rPr>
          </w:pPr>
          <w:hyperlink w:anchor="_Toc432788939" w:history="1">
            <w:r w:rsidR="00DF0F94" w:rsidRPr="00204D38">
              <w:rPr>
                <w:rStyle w:val="Lienhypertexte"/>
                <w:noProof/>
              </w:rPr>
              <w:t>4.1 La contribution légale obligatoire</w:t>
            </w:r>
            <w:r w:rsidR="00DF0F94">
              <w:rPr>
                <w:noProof/>
                <w:webHidden/>
              </w:rPr>
              <w:tab/>
            </w:r>
            <w:r w:rsidR="00DF0F94">
              <w:rPr>
                <w:noProof/>
                <w:webHidden/>
              </w:rPr>
              <w:fldChar w:fldCharType="begin"/>
            </w:r>
            <w:r w:rsidR="00DF0F94">
              <w:rPr>
                <w:noProof/>
                <w:webHidden/>
              </w:rPr>
              <w:instrText xml:space="preserve"> PAGEREF _Toc432788939 \h </w:instrText>
            </w:r>
            <w:r w:rsidR="00DF0F94">
              <w:rPr>
                <w:noProof/>
                <w:webHidden/>
              </w:rPr>
            </w:r>
            <w:r w:rsidR="00DF0F94">
              <w:rPr>
                <w:noProof/>
                <w:webHidden/>
              </w:rPr>
              <w:fldChar w:fldCharType="separate"/>
            </w:r>
            <w:r>
              <w:rPr>
                <w:noProof/>
                <w:webHidden/>
              </w:rPr>
              <w:t>21</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40" w:history="1">
            <w:r w:rsidR="00DF0F94" w:rsidRPr="00204D38">
              <w:rPr>
                <w:rStyle w:val="Lienhypertexte"/>
                <w:noProof/>
              </w:rPr>
              <w:t>4.1.1 Contribution des structures employeur de moins de 10 salariés ETP</w:t>
            </w:r>
            <w:r w:rsidR="00DF0F94">
              <w:rPr>
                <w:noProof/>
                <w:webHidden/>
              </w:rPr>
              <w:tab/>
            </w:r>
            <w:r w:rsidR="00DF0F94">
              <w:rPr>
                <w:noProof/>
                <w:webHidden/>
              </w:rPr>
              <w:fldChar w:fldCharType="begin"/>
            </w:r>
            <w:r w:rsidR="00DF0F94">
              <w:rPr>
                <w:noProof/>
                <w:webHidden/>
              </w:rPr>
              <w:instrText xml:space="preserve"> PAGEREF _Toc432788940 \h </w:instrText>
            </w:r>
            <w:r w:rsidR="00DF0F94">
              <w:rPr>
                <w:noProof/>
                <w:webHidden/>
              </w:rPr>
            </w:r>
            <w:r w:rsidR="00DF0F94">
              <w:rPr>
                <w:noProof/>
                <w:webHidden/>
              </w:rPr>
              <w:fldChar w:fldCharType="separate"/>
            </w:r>
            <w:r>
              <w:rPr>
                <w:noProof/>
                <w:webHidden/>
              </w:rPr>
              <w:t>21</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41" w:history="1">
            <w:r w:rsidR="00DF0F94" w:rsidRPr="00204D38">
              <w:rPr>
                <w:rStyle w:val="Lienhypertexte"/>
                <w:noProof/>
              </w:rPr>
              <w:t>4.1.2 Contribution des structures employeur de plus de 10 salariés ETP</w:t>
            </w:r>
            <w:r w:rsidR="00DF0F94">
              <w:rPr>
                <w:noProof/>
                <w:webHidden/>
              </w:rPr>
              <w:tab/>
            </w:r>
            <w:r w:rsidR="00DF0F94">
              <w:rPr>
                <w:noProof/>
                <w:webHidden/>
              </w:rPr>
              <w:fldChar w:fldCharType="begin"/>
            </w:r>
            <w:r w:rsidR="00DF0F94">
              <w:rPr>
                <w:noProof/>
                <w:webHidden/>
              </w:rPr>
              <w:instrText xml:space="preserve"> PAGEREF _Toc432788941 \h </w:instrText>
            </w:r>
            <w:r w:rsidR="00DF0F94">
              <w:rPr>
                <w:noProof/>
                <w:webHidden/>
              </w:rPr>
            </w:r>
            <w:r w:rsidR="00DF0F94">
              <w:rPr>
                <w:noProof/>
                <w:webHidden/>
              </w:rPr>
              <w:fldChar w:fldCharType="separate"/>
            </w:r>
            <w:r>
              <w:rPr>
                <w:noProof/>
                <w:webHidden/>
              </w:rPr>
              <w:t>21</w:t>
            </w:r>
            <w:r w:rsidR="00DF0F94">
              <w:rPr>
                <w:noProof/>
                <w:webHidden/>
              </w:rPr>
              <w:fldChar w:fldCharType="end"/>
            </w:r>
          </w:hyperlink>
        </w:p>
        <w:p w:rsidR="00DF0F94" w:rsidRDefault="00D345CE">
          <w:pPr>
            <w:pStyle w:val="TM2"/>
            <w:tabs>
              <w:tab w:val="right" w:leader="dot" w:pos="9736"/>
            </w:tabs>
            <w:rPr>
              <w:noProof/>
            </w:rPr>
          </w:pPr>
          <w:hyperlink w:anchor="_Toc432788942" w:history="1">
            <w:r w:rsidR="00DF0F94" w:rsidRPr="00204D38">
              <w:rPr>
                <w:rStyle w:val="Lienhypertexte"/>
                <w:noProof/>
              </w:rPr>
              <w:t>4.2 La contribution conventionnelle : Capital Compétences – EEP Formation</w:t>
            </w:r>
            <w:r w:rsidR="00DF0F94">
              <w:rPr>
                <w:noProof/>
                <w:webHidden/>
              </w:rPr>
              <w:tab/>
            </w:r>
            <w:r w:rsidR="00DF0F94">
              <w:rPr>
                <w:noProof/>
                <w:webHidden/>
              </w:rPr>
              <w:fldChar w:fldCharType="begin"/>
            </w:r>
            <w:r w:rsidR="00DF0F94">
              <w:rPr>
                <w:noProof/>
                <w:webHidden/>
              </w:rPr>
              <w:instrText xml:space="preserve"> PAGEREF _Toc432788942 \h </w:instrText>
            </w:r>
            <w:r w:rsidR="00DF0F94">
              <w:rPr>
                <w:noProof/>
                <w:webHidden/>
              </w:rPr>
            </w:r>
            <w:r w:rsidR="00DF0F94">
              <w:rPr>
                <w:noProof/>
                <w:webHidden/>
              </w:rPr>
              <w:fldChar w:fldCharType="separate"/>
            </w:r>
            <w:r>
              <w:rPr>
                <w:noProof/>
                <w:webHidden/>
              </w:rPr>
              <w:t>21</w:t>
            </w:r>
            <w:r w:rsidR="00DF0F94">
              <w:rPr>
                <w:noProof/>
                <w:webHidden/>
              </w:rPr>
              <w:fldChar w:fldCharType="end"/>
            </w:r>
          </w:hyperlink>
        </w:p>
        <w:p w:rsidR="00DF0F94" w:rsidRDefault="00D345CE">
          <w:pPr>
            <w:pStyle w:val="TM2"/>
            <w:tabs>
              <w:tab w:val="right" w:leader="dot" w:pos="9736"/>
            </w:tabs>
            <w:rPr>
              <w:noProof/>
            </w:rPr>
          </w:pPr>
          <w:hyperlink w:anchor="_Toc432788943" w:history="1">
            <w:r w:rsidR="00DF0F94" w:rsidRPr="00204D38">
              <w:rPr>
                <w:rStyle w:val="Lienhypertexte"/>
                <w:noProof/>
              </w:rPr>
              <w:t>4.3 Participation volontaire</w:t>
            </w:r>
            <w:r w:rsidR="00DF0F94">
              <w:rPr>
                <w:noProof/>
                <w:webHidden/>
              </w:rPr>
              <w:tab/>
            </w:r>
            <w:r w:rsidR="00DF0F94">
              <w:rPr>
                <w:noProof/>
                <w:webHidden/>
              </w:rPr>
              <w:fldChar w:fldCharType="begin"/>
            </w:r>
            <w:r w:rsidR="00DF0F94">
              <w:rPr>
                <w:noProof/>
                <w:webHidden/>
              </w:rPr>
              <w:instrText xml:space="preserve"> PAGEREF _Toc432788943 \h </w:instrText>
            </w:r>
            <w:r w:rsidR="00DF0F94">
              <w:rPr>
                <w:noProof/>
                <w:webHidden/>
              </w:rPr>
            </w:r>
            <w:r w:rsidR="00DF0F94">
              <w:rPr>
                <w:noProof/>
                <w:webHidden/>
              </w:rPr>
              <w:fldChar w:fldCharType="separate"/>
            </w:r>
            <w:r>
              <w:rPr>
                <w:noProof/>
                <w:webHidden/>
              </w:rPr>
              <w:t>22</w:t>
            </w:r>
            <w:r w:rsidR="00DF0F94">
              <w:rPr>
                <w:noProof/>
                <w:webHidden/>
              </w:rPr>
              <w:fldChar w:fldCharType="end"/>
            </w:r>
          </w:hyperlink>
        </w:p>
        <w:p w:rsidR="00DF0F94" w:rsidRDefault="00D345CE">
          <w:pPr>
            <w:pStyle w:val="TM1"/>
            <w:tabs>
              <w:tab w:val="left" w:pos="1320"/>
              <w:tab w:val="right" w:leader="dot" w:pos="9736"/>
            </w:tabs>
            <w:rPr>
              <w:rFonts w:eastAsiaTheme="minorEastAsia" w:cstheme="minorBidi"/>
              <w:noProof/>
              <w:szCs w:val="22"/>
              <w:lang w:eastAsia="fr-FR"/>
            </w:rPr>
          </w:pPr>
          <w:hyperlink w:anchor="_Toc432788944" w:history="1">
            <w:r w:rsidR="00DF0F94" w:rsidRPr="00204D38">
              <w:rPr>
                <w:rStyle w:val="Lienhypertexte"/>
                <w:noProof/>
              </w:rPr>
              <w:t>Chapitre 5</w:t>
            </w:r>
            <w:r w:rsidR="00DF0F94">
              <w:rPr>
                <w:rFonts w:eastAsiaTheme="minorEastAsia" w:cstheme="minorBidi"/>
                <w:noProof/>
                <w:szCs w:val="22"/>
                <w:lang w:eastAsia="fr-FR"/>
              </w:rPr>
              <w:tab/>
            </w:r>
            <w:r w:rsidR="00DF0F94" w:rsidRPr="00204D38">
              <w:rPr>
                <w:rStyle w:val="Lienhypertexte"/>
                <w:noProof/>
              </w:rPr>
              <w:t>Dépôt, extension, révision, dénonciation</w:t>
            </w:r>
            <w:r w:rsidR="00DF0F94">
              <w:rPr>
                <w:noProof/>
                <w:webHidden/>
              </w:rPr>
              <w:tab/>
            </w:r>
            <w:r w:rsidR="00DF0F94">
              <w:rPr>
                <w:noProof/>
                <w:webHidden/>
              </w:rPr>
              <w:fldChar w:fldCharType="begin"/>
            </w:r>
            <w:r w:rsidR="00DF0F94">
              <w:rPr>
                <w:noProof/>
                <w:webHidden/>
              </w:rPr>
              <w:instrText xml:space="preserve"> PAGEREF _Toc432788944 \h </w:instrText>
            </w:r>
            <w:r w:rsidR="00DF0F94">
              <w:rPr>
                <w:noProof/>
                <w:webHidden/>
              </w:rPr>
            </w:r>
            <w:r w:rsidR="00DF0F94">
              <w:rPr>
                <w:noProof/>
                <w:webHidden/>
              </w:rPr>
              <w:fldChar w:fldCharType="separate"/>
            </w:r>
            <w:r>
              <w:rPr>
                <w:noProof/>
                <w:webHidden/>
              </w:rPr>
              <w:t>23</w:t>
            </w:r>
            <w:r w:rsidR="00DF0F94">
              <w:rPr>
                <w:noProof/>
                <w:webHidden/>
              </w:rPr>
              <w:fldChar w:fldCharType="end"/>
            </w:r>
          </w:hyperlink>
        </w:p>
        <w:p w:rsidR="00DF0F94" w:rsidRDefault="00D345CE">
          <w:pPr>
            <w:pStyle w:val="TM2"/>
            <w:tabs>
              <w:tab w:val="right" w:leader="dot" w:pos="9736"/>
            </w:tabs>
            <w:rPr>
              <w:noProof/>
            </w:rPr>
          </w:pPr>
          <w:hyperlink w:anchor="_Toc432788945" w:history="1">
            <w:r w:rsidR="00DF0F94" w:rsidRPr="00204D38">
              <w:rPr>
                <w:rStyle w:val="Lienhypertexte"/>
                <w:noProof/>
              </w:rPr>
              <w:t>5.1 Entrée en vigueur</w:t>
            </w:r>
            <w:r w:rsidR="00DF0F94">
              <w:rPr>
                <w:noProof/>
                <w:webHidden/>
              </w:rPr>
              <w:tab/>
            </w:r>
            <w:r w:rsidR="00DF0F94">
              <w:rPr>
                <w:noProof/>
                <w:webHidden/>
              </w:rPr>
              <w:fldChar w:fldCharType="begin"/>
            </w:r>
            <w:r w:rsidR="00DF0F94">
              <w:rPr>
                <w:noProof/>
                <w:webHidden/>
              </w:rPr>
              <w:instrText xml:space="preserve"> PAGEREF _Toc432788945 \h </w:instrText>
            </w:r>
            <w:r w:rsidR="00DF0F94">
              <w:rPr>
                <w:noProof/>
                <w:webHidden/>
              </w:rPr>
            </w:r>
            <w:r w:rsidR="00DF0F94">
              <w:rPr>
                <w:noProof/>
                <w:webHidden/>
              </w:rPr>
              <w:fldChar w:fldCharType="separate"/>
            </w:r>
            <w:r>
              <w:rPr>
                <w:noProof/>
                <w:webHidden/>
              </w:rPr>
              <w:t>23</w:t>
            </w:r>
            <w:r w:rsidR="00DF0F94">
              <w:rPr>
                <w:noProof/>
                <w:webHidden/>
              </w:rPr>
              <w:fldChar w:fldCharType="end"/>
            </w:r>
          </w:hyperlink>
        </w:p>
        <w:p w:rsidR="00DF0F94" w:rsidRDefault="00D345CE">
          <w:pPr>
            <w:pStyle w:val="TM2"/>
            <w:tabs>
              <w:tab w:val="right" w:leader="dot" w:pos="9736"/>
            </w:tabs>
            <w:rPr>
              <w:noProof/>
            </w:rPr>
          </w:pPr>
          <w:hyperlink w:anchor="_Toc432788946" w:history="1">
            <w:r w:rsidR="00DF0F94" w:rsidRPr="00204D38">
              <w:rPr>
                <w:rStyle w:val="Lienhypertexte"/>
                <w:noProof/>
              </w:rPr>
              <w:t>5.2 Révision</w:t>
            </w:r>
            <w:r w:rsidR="00DF0F94">
              <w:rPr>
                <w:noProof/>
                <w:webHidden/>
              </w:rPr>
              <w:tab/>
            </w:r>
            <w:r w:rsidR="00DF0F94">
              <w:rPr>
                <w:noProof/>
                <w:webHidden/>
              </w:rPr>
              <w:fldChar w:fldCharType="begin"/>
            </w:r>
            <w:r w:rsidR="00DF0F94">
              <w:rPr>
                <w:noProof/>
                <w:webHidden/>
              </w:rPr>
              <w:instrText xml:space="preserve"> PAGEREF _Toc432788946 \h </w:instrText>
            </w:r>
            <w:r w:rsidR="00DF0F94">
              <w:rPr>
                <w:noProof/>
                <w:webHidden/>
              </w:rPr>
            </w:r>
            <w:r w:rsidR="00DF0F94">
              <w:rPr>
                <w:noProof/>
                <w:webHidden/>
              </w:rPr>
              <w:fldChar w:fldCharType="separate"/>
            </w:r>
            <w:r>
              <w:rPr>
                <w:noProof/>
                <w:webHidden/>
              </w:rPr>
              <w:t>23</w:t>
            </w:r>
            <w:r w:rsidR="00DF0F94">
              <w:rPr>
                <w:noProof/>
                <w:webHidden/>
              </w:rPr>
              <w:fldChar w:fldCharType="end"/>
            </w:r>
          </w:hyperlink>
        </w:p>
        <w:p w:rsidR="00DF0F94" w:rsidRDefault="00D345CE">
          <w:pPr>
            <w:pStyle w:val="TM2"/>
            <w:tabs>
              <w:tab w:val="right" w:leader="dot" w:pos="9736"/>
            </w:tabs>
            <w:rPr>
              <w:noProof/>
            </w:rPr>
          </w:pPr>
          <w:hyperlink w:anchor="_Toc432788947" w:history="1">
            <w:r w:rsidR="00DF0F94" w:rsidRPr="00204D38">
              <w:rPr>
                <w:rStyle w:val="Lienhypertexte"/>
                <w:noProof/>
              </w:rPr>
              <w:t>5.3 Dénonciation</w:t>
            </w:r>
            <w:r w:rsidR="00DF0F94">
              <w:rPr>
                <w:noProof/>
                <w:webHidden/>
              </w:rPr>
              <w:tab/>
            </w:r>
            <w:r w:rsidR="00DF0F94">
              <w:rPr>
                <w:noProof/>
                <w:webHidden/>
              </w:rPr>
              <w:fldChar w:fldCharType="begin"/>
            </w:r>
            <w:r w:rsidR="00DF0F94">
              <w:rPr>
                <w:noProof/>
                <w:webHidden/>
              </w:rPr>
              <w:instrText xml:space="preserve"> PAGEREF _Toc432788947 \h </w:instrText>
            </w:r>
            <w:r w:rsidR="00DF0F94">
              <w:rPr>
                <w:noProof/>
                <w:webHidden/>
              </w:rPr>
            </w:r>
            <w:r w:rsidR="00DF0F94">
              <w:rPr>
                <w:noProof/>
                <w:webHidden/>
              </w:rPr>
              <w:fldChar w:fldCharType="separate"/>
            </w:r>
            <w:r>
              <w:rPr>
                <w:noProof/>
                <w:webHidden/>
              </w:rPr>
              <w:t>23</w:t>
            </w:r>
            <w:r w:rsidR="00DF0F94">
              <w:rPr>
                <w:noProof/>
                <w:webHidden/>
              </w:rPr>
              <w:fldChar w:fldCharType="end"/>
            </w:r>
          </w:hyperlink>
        </w:p>
        <w:p w:rsidR="00DF0F94" w:rsidRDefault="00D345CE">
          <w:pPr>
            <w:pStyle w:val="TM2"/>
            <w:tabs>
              <w:tab w:val="right" w:leader="dot" w:pos="9736"/>
            </w:tabs>
            <w:rPr>
              <w:noProof/>
            </w:rPr>
          </w:pPr>
          <w:hyperlink w:anchor="_Toc432788948" w:history="1">
            <w:r w:rsidR="00DF0F94" w:rsidRPr="00204D38">
              <w:rPr>
                <w:rStyle w:val="Lienhypertexte"/>
                <w:noProof/>
              </w:rPr>
              <w:t>4.4 Dépôt et demande d’extension</w:t>
            </w:r>
            <w:r w:rsidR="00DF0F94">
              <w:rPr>
                <w:noProof/>
                <w:webHidden/>
              </w:rPr>
              <w:tab/>
            </w:r>
            <w:r w:rsidR="00DF0F94">
              <w:rPr>
                <w:noProof/>
                <w:webHidden/>
              </w:rPr>
              <w:fldChar w:fldCharType="begin"/>
            </w:r>
            <w:r w:rsidR="00DF0F94">
              <w:rPr>
                <w:noProof/>
                <w:webHidden/>
              </w:rPr>
              <w:instrText xml:space="preserve"> PAGEREF _Toc432788948 \h </w:instrText>
            </w:r>
            <w:r w:rsidR="00DF0F94">
              <w:rPr>
                <w:noProof/>
                <w:webHidden/>
              </w:rPr>
            </w:r>
            <w:r w:rsidR="00DF0F94">
              <w:rPr>
                <w:noProof/>
                <w:webHidden/>
              </w:rPr>
              <w:fldChar w:fldCharType="separate"/>
            </w:r>
            <w:r>
              <w:rPr>
                <w:noProof/>
                <w:webHidden/>
              </w:rPr>
              <w:t>23</w:t>
            </w:r>
            <w:r w:rsidR="00DF0F94">
              <w:rPr>
                <w:noProof/>
                <w:webHidden/>
              </w:rPr>
              <w:fldChar w:fldCharType="end"/>
            </w:r>
          </w:hyperlink>
        </w:p>
        <w:p w:rsidR="00DF0F94" w:rsidRDefault="00D345CE">
          <w:pPr>
            <w:pStyle w:val="TM1"/>
            <w:tabs>
              <w:tab w:val="left" w:pos="1320"/>
              <w:tab w:val="right" w:leader="dot" w:pos="9736"/>
            </w:tabs>
            <w:rPr>
              <w:rFonts w:eastAsiaTheme="minorEastAsia" w:cstheme="minorBidi"/>
              <w:noProof/>
              <w:szCs w:val="22"/>
              <w:lang w:eastAsia="fr-FR"/>
            </w:rPr>
          </w:pPr>
          <w:hyperlink w:anchor="_Toc432788949" w:history="1">
            <w:r w:rsidR="00DF0F94" w:rsidRPr="00204D38">
              <w:rPr>
                <w:rStyle w:val="Lienhypertexte"/>
                <w:noProof/>
              </w:rPr>
              <w:t>Chapitre 6</w:t>
            </w:r>
            <w:r w:rsidR="00DF0F94">
              <w:rPr>
                <w:rFonts w:eastAsiaTheme="minorEastAsia" w:cstheme="minorBidi"/>
                <w:noProof/>
                <w:szCs w:val="22"/>
                <w:lang w:eastAsia="fr-FR"/>
              </w:rPr>
              <w:tab/>
            </w:r>
            <w:r w:rsidR="00DF0F94" w:rsidRPr="00204D38">
              <w:rPr>
                <w:rStyle w:val="Lienhypertexte"/>
                <w:noProof/>
              </w:rPr>
              <w:t>Signatures</w:t>
            </w:r>
            <w:r w:rsidR="00DF0F94">
              <w:rPr>
                <w:noProof/>
                <w:webHidden/>
              </w:rPr>
              <w:tab/>
            </w:r>
            <w:r w:rsidR="00DF0F94">
              <w:rPr>
                <w:noProof/>
                <w:webHidden/>
              </w:rPr>
              <w:fldChar w:fldCharType="begin"/>
            </w:r>
            <w:r w:rsidR="00DF0F94">
              <w:rPr>
                <w:noProof/>
                <w:webHidden/>
              </w:rPr>
              <w:instrText xml:space="preserve"> PAGEREF _Toc432788949 \h </w:instrText>
            </w:r>
            <w:r w:rsidR="00DF0F94">
              <w:rPr>
                <w:noProof/>
                <w:webHidden/>
              </w:rPr>
            </w:r>
            <w:r w:rsidR="00DF0F94">
              <w:rPr>
                <w:noProof/>
                <w:webHidden/>
              </w:rPr>
              <w:fldChar w:fldCharType="separate"/>
            </w:r>
            <w:r>
              <w:rPr>
                <w:noProof/>
                <w:webHidden/>
              </w:rPr>
              <w:t>24</w:t>
            </w:r>
            <w:r w:rsidR="00DF0F94">
              <w:rPr>
                <w:noProof/>
                <w:webHidden/>
              </w:rPr>
              <w:fldChar w:fldCharType="end"/>
            </w:r>
          </w:hyperlink>
        </w:p>
        <w:p w:rsidR="00DF0F94" w:rsidRDefault="00D345CE">
          <w:pPr>
            <w:pStyle w:val="TM1"/>
            <w:tabs>
              <w:tab w:val="right" w:leader="dot" w:pos="9736"/>
            </w:tabs>
            <w:rPr>
              <w:rFonts w:eastAsiaTheme="minorEastAsia" w:cstheme="minorBidi"/>
              <w:noProof/>
              <w:szCs w:val="22"/>
              <w:lang w:eastAsia="fr-FR"/>
            </w:rPr>
          </w:pPr>
          <w:hyperlink w:anchor="_Toc432788950" w:history="1">
            <w:r w:rsidR="00DF0F94" w:rsidRPr="00204D38">
              <w:rPr>
                <w:rStyle w:val="Lienhypertexte"/>
                <w:noProof/>
              </w:rPr>
              <w:t>Annexe 1 : Modalités d’élaboration des Certificats de Qualification Professionnelle (CQP)</w:t>
            </w:r>
            <w:r w:rsidR="00DF0F94">
              <w:rPr>
                <w:noProof/>
                <w:webHidden/>
              </w:rPr>
              <w:tab/>
            </w:r>
            <w:r w:rsidR="00DF0F94">
              <w:rPr>
                <w:noProof/>
                <w:webHidden/>
              </w:rPr>
              <w:fldChar w:fldCharType="begin"/>
            </w:r>
            <w:r w:rsidR="00DF0F94">
              <w:rPr>
                <w:noProof/>
                <w:webHidden/>
              </w:rPr>
              <w:instrText xml:space="preserve"> PAGEREF _Toc432788950 \h </w:instrText>
            </w:r>
            <w:r w:rsidR="00DF0F94">
              <w:rPr>
                <w:noProof/>
                <w:webHidden/>
              </w:rPr>
            </w:r>
            <w:r w:rsidR="00DF0F94">
              <w:rPr>
                <w:noProof/>
                <w:webHidden/>
              </w:rPr>
              <w:fldChar w:fldCharType="separate"/>
            </w:r>
            <w:r>
              <w:rPr>
                <w:noProof/>
                <w:webHidden/>
              </w:rPr>
              <w:t>25</w:t>
            </w:r>
            <w:r w:rsidR="00DF0F94">
              <w:rPr>
                <w:noProof/>
                <w:webHidden/>
              </w:rPr>
              <w:fldChar w:fldCharType="end"/>
            </w:r>
          </w:hyperlink>
        </w:p>
        <w:p w:rsidR="00EF03CB" w:rsidRDefault="00316AA2" w:rsidP="00902C89">
          <w:r w:rsidRPr="00316AA2">
            <w:rPr>
              <w:rFonts w:cstheme="minorHAnsi"/>
              <w:b/>
              <w:bCs/>
              <w:szCs w:val="22"/>
            </w:rPr>
            <w:fldChar w:fldCharType="end"/>
          </w:r>
        </w:p>
      </w:sdtContent>
    </w:sdt>
    <w:p w:rsidR="00481416" w:rsidRDefault="00481416">
      <w:pPr>
        <w:spacing w:line="276" w:lineRule="auto"/>
        <w:jc w:val="left"/>
      </w:pPr>
      <w:r>
        <w:br w:type="page"/>
      </w:r>
    </w:p>
    <w:p w:rsidR="00D20F24" w:rsidRDefault="00D20F24">
      <w:pPr>
        <w:spacing w:line="276" w:lineRule="auto"/>
        <w:jc w:val="left"/>
        <w:rPr>
          <w:b/>
          <w:color w:val="92CDDC" w:themeColor="accent5" w:themeTint="99"/>
          <w:sz w:val="32"/>
          <w:szCs w:val="32"/>
        </w:rPr>
      </w:pPr>
      <w:r>
        <w:rPr>
          <w:b/>
          <w:color w:val="92CDDC" w:themeColor="accent5" w:themeTint="99"/>
          <w:sz w:val="32"/>
          <w:szCs w:val="32"/>
        </w:rPr>
        <w:lastRenderedPageBreak/>
        <w:br w:type="page"/>
      </w:r>
    </w:p>
    <w:p w:rsidR="00DD6E92" w:rsidRPr="0084785B" w:rsidRDefault="00DD6E92" w:rsidP="007B4126">
      <w:pPr>
        <w:spacing w:line="276" w:lineRule="auto"/>
        <w:jc w:val="left"/>
        <w:rPr>
          <w:color w:val="92CDDC" w:themeColor="accent5" w:themeTint="99"/>
          <w:sz w:val="32"/>
          <w:szCs w:val="32"/>
        </w:rPr>
      </w:pPr>
      <w:r w:rsidRPr="0084785B">
        <w:rPr>
          <w:b/>
          <w:color w:val="92CDDC" w:themeColor="accent5" w:themeTint="99"/>
          <w:sz w:val="32"/>
          <w:szCs w:val="32"/>
        </w:rPr>
        <w:lastRenderedPageBreak/>
        <w:t>Préambule</w:t>
      </w:r>
    </w:p>
    <w:p w:rsidR="00A16C1F" w:rsidRDefault="00A16C1F" w:rsidP="00A16C1F">
      <w:pPr>
        <w:rPr>
          <w:szCs w:val="22"/>
          <w:lang w:eastAsia="fr-FR"/>
        </w:rPr>
      </w:pPr>
      <w:r>
        <w:rPr>
          <w:szCs w:val="22"/>
          <w:lang w:eastAsia="fr-FR"/>
        </w:rPr>
        <w:t xml:space="preserve">La loi n°2014-288 du 5 mars 2014 </w:t>
      </w:r>
      <w:r w:rsidRPr="000C2171">
        <w:rPr>
          <w:rStyle w:val="lev"/>
          <w:b w:val="0"/>
          <w:szCs w:val="22"/>
        </w:rPr>
        <w:t>relative à la formation professionnelle, à l'emploi et à la démocratie sociale</w:t>
      </w:r>
      <w:r>
        <w:rPr>
          <w:rStyle w:val="lev"/>
          <w:b w:val="0"/>
          <w:szCs w:val="22"/>
        </w:rPr>
        <w:t xml:space="preserve"> a profondément modifié les dispositifs en matière de formation professionnelle continue. </w:t>
      </w:r>
    </w:p>
    <w:p w:rsidR="00A16C1F" w:rsidRDefault="00A16C1F" w:rsidP="00A16C1F">
      <w:pPr>
        <w:spacing w:after="0"/>
        <w:rPr>
          <w:rFonts w:cs="Calibri"/>
        </w:rPr>
      </w:pPr>
      <w:r>
        <w:rPr>
          <w:rFonts w:cs="Calibri"/>
        </w:rPr>
        <w:t>Les partenaires sociaux de l’Interbranches des Etablissements d’Enseignement Privés (EEP) ont pris acte de ces modifications et ont décidé de réviser l’Accord National Interbranches sur les objectifs et les moyens de la formation professionnelle continue dans l’Enseignement privé sous contrat du 27 juin 2011 et de lui substituer les dispositions du présent accord.</w:t>
      </w:r>
    </w:p>
    <w:p w:rsidR="00A16C1F" w:rsidRDefault="00A16C1F" w:rsidP="00A16C1F">
      <w:pPr>
        <w:spacing w:after="0"/>
        <w:rPr>
          <w:rFonts w:cs="Calibri"/>
        </w:rPr>
      </w:pPr>
    </w:p>
    <w:p w:rsidR="00A16C1F" w:rsidRDefault="00A16C1F" w:rsidP="00A16C1F">
      <w:pPr>
        <w:rPr>
          <w:szCs w:val="22"/>
          <w:lang w:eastAsia="fr-FR"/>
        </w:rPr>
      </w:pPr>
      <w:r>
        <w:rPr>
          <w:szCs w:val="22"/>
          <w:lang w:eastAsia="fr-FR"/>
        </w:rPr>
        <w:t>Ses signataires ont fait le choix de faire référence à la loi sauf dans les dispositions spécifiques contenu</w:t>
      </w:r>
      <w:r w:rsidR="00D20F24">
        <w:rPr>
          <w:szCs w:val="22"/>
          <w:lang w:eastAsia="fr-FR"/>
        </w:rPr>
        <w:t>es</w:t>
      </w:r>
      <w:r>
        <w:rPr>
          <w:szCs w:val="22"/>
          <w:lang w:eastAsia="fr-FR"/>
        </w:rPr>
        <w:t xml:space="preserve"> dans le présent accord et organisées en trois axes majeurs : la réforme du financement, la personnalisation des droits (Entretien professionnel, Compte Personnel de Formation) et le contrôle de la qualité des formations.</w:t>
      </w:r>
    </w:p>
    <w:p w:rsidR="00A16C1F" w:rsidRDefault="00A16C1F" w:rsidP="00A16C1F">
      <w:pPr>
        <w:spacing w:after="0"/>
        <w:rPr>
          <w:rFonts w:cs="Calibri"/>
        </w:rPr>
      </w:pPr>
      <w:r>
        <w:rPr>
          <w:rFonts w:cs="Calibri"/>
        </w:rPr>
        <w:t xml:space="preserve">Pour les signataires du présent accord, la formation professionnelle constitue un atout pour les salariés et un investissement, tant pour les personnes que pour les établissements. Elle participe aux évolutions des emplois et compétences des établissements et à la gestion des carrières des salariés. </w:t>
      </w:r>
    </w:p>
    <w:p w:rsidR="00A16C1F" w:rsidRDefault="00A16C1F" w:rsidP="00A16C1F">
      <w:pPr>
        <w:rPr>
          <w:szCs w:val="22"/>
          <w:lang w:eastAsia="fr-FR"/>
        </w:rPr>
      </w:pPr>
    </w:p>
    <w:p w:rsidR="00A16C1F" w:rsidRDefault="00A16C1F" w:rsidP="00A16C1F">
      <w:pPr>
        <w:rPr>
          <w:szCs w:val="22"/>
          <w:lang w:eastAsia="fr-FR"/>
        </w:rPr>
      </w:pPr>
      <w:r>
        <w:rPr>
          <w:szCs w:val="22"/>
          <w:lang w:eastAsia="fr-FR"/>
        </w:rPr>
        <w:t xml:space="preserve">Les signataires s’engagent à porter à la connaissance du plus grand nombre </w:t>
      </w:r>
      <w:r w:rsidR="002B434E">
        <w:rPr>
          <w:szCs w:val="22"/>
          <w:lang w:eastAsia="fr-FR"/>
        </w:rPr>
        <w:t xml:space="preserve">et </w:t>
      </w:r>
      <w:r>
        <w:rPr>
          <w:szCs w:val="22"/>
          <w:lang w:eastAsia="fr-FR"/>
        </w:rPr>
        <w:t>par tout moyen (site internet, communiqué, publication …) l’existence des dispositifs de formation professionnelle, des modalités de départ et leur financement.</w:t>
      </w:r>
    </w:p>
    <w:p w:rsidR="00A16C1F" w:rsidRPr="00A9211B" w:rsidRDefault="00A16C1F" w:rsidP="00A16C1F">
      <w:pPr>
        <w:rPr>
          <w:rFonts w:cstheme="minorHAnsi"/>
          <w:szCs w:val="22"/>
        </w:rPr>
      </w:pPr>
    </w:p>
    <w:p w:rsidR="00DD6E92" w:rsidRDefault="00DD6E92">
      <w:pPr>
        <w:spacing w:line="276" w:lineRule="auto"/>
        <w:jc w:val="left"/>
      </w:pPr>
      <w:r>
        <w:br w:type="page"/>
      </w:r>
    </w:p>
    <w:p w:rsidR="00DD6E92" w:rsidRPr="00C17F13" w:rsidRDefault="00DD6E92" w:rsidP="00902C89">
      <w:pPr>
        <w:pStyle w:val="Style6"/>
        <w:numPr>
          <w:ilvl w:val="0"/>
          <w:numId w:val="13"/>
        </w:numPr>
      </w:pPr>
      <w:bookmarkStart w:id="1" w:name="_Toc432788894"/>
      <w:r w:rsidRPr="00C17F13">
        <w:t xml:space="preserve">Champ d’application et priorités de </w:t>
      </w:r>
      <w:r w:rsidR="0096498E" w:rsidRPr="00C17F13">
        <w:t>l’Interbranches</w:t>
      </w:r>
      <w:bookmarkEnd w:id="1"/>
    </w:p>
    <w:p w:rsidR="00DD6E92" w:rsidRPr="00C17F13" w:rsidRDefault="00C61DCC" w:rsidP="00C17F13">
      <w:pPr>
        <w:pStyle w:val="Citationintense"/>
      </w:pPr>
      <w:bookmarkStart w:id="2" w:name="_Toc432788895"/>
      <w:r w:rsidRPr="00C17F13">
        <w:t xml:space="preserve">1.1 </w:t>
      </w:r>
      <w:r w:rsidR="00DD6E92" w:rsidRPr="00C17F13">
        <w:t>Champ d’application</w:t>
      </w:r>
      <w:bookmarkEnd w:id="2"/>
    </w:p>
    <w:p w:rsidR="00DD6E92" w:rsidRPr="00DD6E92" w:rsidRDefault="00DD6E92" w:rsidP="00DD6E92">
      <w:pPr>
        <w:spacing w:after="0"/>
        <w:rPr>
          <w:rFonts w:cstheme="minorHAnsi"/>
          <w:szCs w:val="22"/>
        </w:rPr>
      </w:pPr>
      <w:r w:rsidRPr="00DD6E92">
        <w:rPr>
          <w:rFonts w:cstheme="minorHAnsi"/>
          <w:szCs w:val="22"/>
        </w:rPr>
        <w:t xml:space="preserve">Le présent accord s’applique, en France métropolitaine et dans les départements et collectivités d’outre-mer, aux établissements d’enseignement privés définis ci-dessous et à leurs salariés. </w:t>
      </w:r>
    </w:p>
    <w:p w:rsidR="00DD6E92" w:rsidRPr="00DD6E92" w:rsidRDefault="00DD6E92" w:rsidP="00DD6E92">
      <w:pPr>
        <w:spacing w:after="0"/>
        <w:rPr>
          <w:rFonts w:cstheme="minorHAnsi"/>
          <w:szCs w:val="22"/>
        </w:rPr>
      </w:pPr>
    </w:p>
    <w:p w:rsidR="00DD6E92" w:rsidRPr="00DD6E92" w:rsidRDefault="00DD6E92" w:rsidP="00DD6E92">
      <w:pPr>
        <w:spacing w:after="0"/>
        <w:rPr>
          <w:rFonts w:cstheme="minorHAnsi"/>
          <w:szCs w:val="22"/>
        </w:rPr>
      </w:pPr>
      <w:r w:rsidRPr="00DD6E92">
        <w:rPr>
          <w:rFonts w:cstheme="minorHAnsi"/>
          <w:szCs w:val="22"/>
        </w:rPr>
        <w:t xml:space="preserve">Sont visés les établissements d’enseignement privés </w:t>
      </w:r>
      <w:r w:rsidRPr="00DD6E92">
        <w:rPr>
          <w:rFonts w:cstheme="minorHAnsi"/>
          <w:szCs w:val="22"/>
          <w:lang w:eastAsia="fr-FR"/>
        </w:rPr>
        <w:t xml:space="preserve">ayant majoritairement des classes sous contrat avec l’Etat </w:t>
      </w:r>
      <w:r w:rsidRPr="00DD6E92">
        <w:rPr>
          <w:rFonts w:cstheme="minorHAnsi"/>
          <w:szCs w:val="22"/>
        </w:rPr>
        <w:t xml:space="preserve">dans le cadre des articles L. </w:t>
      </w:r>
      <w:r w:rsidR="004D2C42">
        <w:rPr>
          <w:rFonts w:cstheme="minorHAnsi"/>
          <w:szCs w:val="22"/>
        </w:rPr>
        <w:t xml:space="preserve">442-1 </w:t>
      </w:r>
      <w:r w:rsidRPr="00DD6E92">
        <w:rPr>
          <w:rFonts w:cstheme="minorHAnsi"/>
          <w:szCs w:val="22"/>
        </w:rPr>
        <w:t>du Code de l’éducation et L. 813-8 du Code rural.</w:t>
      </w:r>
    </w:p>
    <w:p w:rsidR="00DD6E92" w:rsidRPr="00DD6E92" w:rsidRDefault="00DD6E92" w:rsidP="00DD6E92">
      <w:pPr>
        <w:spacing w:after="0"/>
        <w:rPr>
          <w:rFonts w:cstheme="minorHAnsi"/>
          <w:szCs w:val="22"/>
        </w:rPr>
      </w:pPr>
    </w:p>
    <w:p w:rsidR="00DD6E92" w:rsidRPr="00DD6E92" w:rsidRDefault="00DD6E92" w:rsidP="00DD6E92">
      <w:pPr>
        <w:spacing w:after="0"/>
        <w:rPr>
          <w:rFonts w:eastAsia="Times New Roman" w:cstheme="minorHAnsi"/>
          <w:szCs w:val="22"/>
          <w:lang w:eastAsia="fr-FR"/>
        </w:rPr>
      </w:pPr>
      <w:r w:rsidRPr="00DD6E92">
        <w:rPr>
          <w:rFonts w:eastAsia="Times New Roman" w:cstheme="minorHAnsi"/>
          <w:szCs w:val="22"/>
          <w:lang w:eastAsia="fr-FR"/>
        </w:rPr>
        <w:t xml:space="preserve">Le présent couvre les champs conventionnels suivants : </w:t>
      </w:r>
    </w:p>
    <w:p w:rsidR="00DD6E92" w:rsidRPr="00DD6E92" w:rsidRDefault="00DD6E92" w:rsidP="00DD6E92">
      <w:pPr>
        <w:spacing w:after="0"/>
        <w:rPr>
          <w:rFonts w:eastAsia="Times New Roman" w:cstheme="minorHAnsi"/>
          <w:szCs w:val="22"/>
          <w:lang w:eastAsia="fr-FR"/>
        </w:rPr>
      </w:pPr>
    </w:p>
    <w:tbl>
      <w:tblPr>
        <w:tblW w:w="4517"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1278"/>
        <w:gridCol w:w="7722"/>
      </w:tblGrid>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b/>
                <w:sz w:val="20"/>
                <w:szCs w:val="20"/>
              </w:rPr>
            </w:pPr>
            <w:r w:rsidRPr="00DD6E92">
              <w:rPr>
                <w:rFonts w:cstheme="minorHAnsi"/>
                <w:sz w:val="20"/>
                <w:szCs w:val="20"/>
              </w:rPr>
              <w:br w:type="page"/>
            </w:r>
            <w:r w:rsidRPr="00DD6E92">
              <w:rPr>
                <w:rFonts w:cstheme="minorHAnsi"/>
                <w:b/>
                <w:sz w:val="20"/>
                <w:szCs w:val="20"/>
              </w:rPr>
              <w:t>Numéro IDCC</w:t>
            </w:r>
          </w:p>
        </w:tc>
        <w:tc>
          <w:tcPr>
            <w:tcW w:w="4290" w:type="pct"/>
            <w:vAlign w:val="center"/>
            <w:hideMark/>
          </w:tcPr>
          <w:p w:rsidR="00DD6E92" w:rsidRPr="00DD6E92" w:rsidRDefault="00DD6E92" w:rsidP="00DD6E92">
            <w:pPr>
              <w:spacing w:after="0"/>
              <w:ind w:left="439"/>
              <w:jc w:val="center"/>
              <w:rPr>
                <w:rFonts w:cstheme="minorHAnsi"/>
                <w:b/>
                <w:sz w:val="20"/>
                <w:szCs w:val="20"/>
              </w:rPr>
            </w:pPr>
            <w:r w:rsidRPr="00DD6E92">
              <w:rPr>
                <w:rFonts w:cstheme="minorHAnsi"/>
                <w:b/>
                <w:sz w:val="20"/>
                <w:szCs w:val="20"/>
              </w:rPr>
              <w:t>Intitulé de la convention collective</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0390</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de travail des professeurs de l'enseignement secondaire libre enseignant dans les établissements hors contrat et dans les établissements sous contrat mais sans être contractuels</w:t>
            </w:r>
          </w:p>
        </w:tc>
      </w:tr>
      <w:tr w:rsidR="00DD6E92" w:rsidRPr="00DD6E92" w:rsidTr="00C17F13">
        <w:trPr>
          <w:trHeight w:val="840"/>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1326</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nationale des maîtres de l'enseignement primaire privé dans les classes hors contrat et sous contrat simple et ne relevant pas de la convention collective de travail de l'enseignement primaire catholique</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1334</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des psychologues de l'enseignement privé</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1446</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nationale du travail des personnels enseignant hors contrat et des chefs de travaux exerçant des responsabilités hors contrat dans les établissements d'enseignement techniques privés</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1545</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de travail de l'enseignement primaire catholique</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2152</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Convention collective nationale de travail du personnel enseignant et formateur des centres de formation continue et des centres de formation d'apprentis, des sections d'apprentissage et des unités de formation par apprentissage intégrés à un établissement technique privé</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trike/>
                <w:sz w:val="20"/>
                <w:szCs w:val="20"/>
              </w:rPr>
            </w:pPr>
            <w:r w:rsidRPr="00DD6E92">
              <w:rPr>
                <w:rFonts w:cstheme="minorHAnsi"/>
                <w:sz w:val="20"/>
                <w:szCs w:val="20"/>
              </w:rPr>
              <w:t>2364</w:t>
            </w:r>
          </w:p>
        </w:tc>
        <w:tc>
          <w:tcPr>
            <w:tcW w:w="4290" w:type="pct"/>
            <w:vAlign w:val="center"/>
            <w:hideMark/>
          </w:tcPr>
          <w:p w:rsidR="00DD6E92" w:rsidRPr="00DD6E92" w:rsidRDefault="00DD6E92" w:rsidP="00DD6E92">
            <w:pPr>
              <w:spacing w:after="0"/>
              <w:ind w:left="439"/>
              <w:rPr>
                <w:rFonts w:cstheme="minorHAnsi"/>
                <w:strike/>
                <w:sz w:val="20"/>
                <w:szCs w:val="20"/>
              </w:rPr>
            </w:pPr>
            <w:r w:rsidRPr="00DD6E92">
              <w:rPr>
                <w:rFonts w:cstheme="minorHAnsi"/>
                <w:sz w:val="20"/>
                <w:szCs w:val="20"/>
              </w:rPr>
              <w:t>Convention collective de l’Enseignement technique sous contrat simple</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2408</w:t>
            </w:r>
          </w:p>
        </w:tc>
        <w:tc>
          <w:tcPr>
            <w:tcW w:w="4290" w:type="pct"/>
            <w:vAlign w:val="center"/>
            <w:hideMark/>
          </w:tcPr>
          <w:p w:rsidR="00DD6E92" w:rsidRPr="00DD6E92" w:rsidRDefault="00DD6E92" w:rsidP="007343A3">
            <w:pPr>
              <w:spacing w:after="0"/>
              <w:ind w:left="439"/>
              <w:rPr>
                <w:rFonts w:cstheme="minorHAnsi"/>
                <w:sz w:val="20"/>
                <w:szCs w:val="20"/>
              </w:rPr>
            </w:pPr>
            <w:r w:rsidRPr="00DD6E92">
              <w:rPr>
                <w:rFonts w:cstheme="minorHAnsi"/>
                <w:sz w:val="20"/>
                <w:szCs w:val="20"/>
              </w:rPr>
              <w:t xml:space="preserve">Convention collective </w:t>
            </w:r>
            <w:r w:rsidR="007343A3">
              <w:rPr>
                <w:rFonts w:cstheme="minorHAnsi"/>
                <w:sz w:val="20"/>
                <w:szCs w:val="20"/>
              </w:rPr>
              <w:t xml:space="preserve">des Salariés des Etablissements Privés 2015 </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7505</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bCs/>
                <w:sz w:val="20"/>
                <w:szCs w:val="20"/>
              </w:rPr>
              <w:t>Convention collective des personnels de formation des établissements d’enseignement et centres de formation agricoles prives relevant du CNEAP</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7506</w:t>
            </w:r>
          </w:p>
        </w:tc>
        <w:tc>
          <w:tcPr>
            <w:tcW w:w="4290" w:type="pct"/>
            <w:vAlign w:val="center"/>
            <w:hideMark/>
          </w:tcPr>
          <w:p w:rsidR="00DD6E92" w:rsidRPr="00DD6E92" w:rsidRDefault="00DD6E92" w:rsidP="008B4852">
            <w:pPr>
              <w:spacing w:after="0"/>
              <w:ind w:left="439"/>
              <w:rPr>
                <w:rFonts w:cstheme="minorHAnsi"/>
                <w:sz w:val="20"/>
                <w:szCs w:val="20"/>
              </w:rPr>
            </w:pPr>
            <w:r w:rsidRPr="00DD6E92">
              <w:rPr>
                <w:rFonts w:cstheme="minorHAnsi"/>
                <w:bCs/>
                <w:sz w:val="20"/>
                <w:szCs w:val="20"/>
              </w:rPr>
              <w:t xml:space="preserve">Convention collective des personnels de vie scolaire des établissements d’enseignement et centres de formation agricoles </w:t>
            </w:r>
            <w:r w:rsidR="008B4852" w:rsidRPr="00DD6E92">
              <w:rPr>
                <w:rFonts w:cstheme="minorHAnsi"/>
                <w:bCs/>
                <w:sz w:val="20"/>
                <w:szCs w:val="20"/>
              </w:rPr>
              <w:t>priv</w:t>
            </w:r>
            <w:r w:rsidR="008B4852">
              <w:rPr>
                <w:rFonts w:cstheme="minorHAnsi"/>
                <w:bCs/>
                <w:sz w:val="20"/>
                <w:szCs w:val="20"/>
              </w:rPr>
              <w:t>é</w:t>
            </w:r>
            <w:r w:rsidR="008B4852" w:rsidRPr="00DD6E92">
              <w:rPr>
                <w:rFonts w:cstheme="minorHAnsi"/>
                <w:bCs/>
                <w:sz w:val="20"/>
                <w:szCs w:val="20"/>
              </w:rPr>
              <w:t xml:space="preserve">s </w:t>
            </w:r>
            <w:r w:rsidRPr="00DD6E92">
              <w:rPr>
                <w:rFonts w:cstheme="minorHAnsi"/>
                <w:bCs/>
                <w:sz w:val="20"/>
                <w:szCs w:val="20"/>
              </w:rPr>
              <w:t>relevant du CNEAP</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7507</w:t>
            </w:r>
          </w:p>
        </w:tc>
        <w:tc>
          <w:tcPr>
            <w:tcW w:w="4290" w:type="pct"/>
            <w:vAlign w:val="center"/>
            <w:hideMark/>
          </w:tcPr>
          <w:p w:rsidR="00DD6E92" w:rsidRPr="00DD6E92" w:rsidRDefault="00DD6E92" w:rsidP="008B4852">
            <w:pPr>
              <w:spacing w:after="0"/>
              <w:ind w:left="439"/>
              <w:rPr>
                <w:rFonts w:cstheme="minorHAnsi"/>
                <w:sz w:val="20"/>
                <w:szCs w:val="20"/>
              </w:rPr>
            </w:pPr>
            <w:r w:rsidRPr="00DD6E92">
              <w:rPr>
                <w:rFonts w:cstheme="minorHAnsi"/>
                <w:bCs/>
                <w:sz w:val="20"/>
                <w:szCs w:val="20"/>
              </w:rPr>
              <w:t xml:space="preserve">Convention collective des personnels administratifs et techniques des établissements d’enseignement et centres de formation agricoles </w:t>
            </w:r>
            <w:r w:rsidR="008B4852" w:rsidRPr="00DD6E92">
              <w:rPr>
                <w:rFonts w:cstheme="minorHAnsi"/>
                <w:bCs/>
                <w:sz w:val="20"/>
                <w:szCs w:val="20"/>
              </w:rPr>
              <w:t>priv</w:t>
            </w:r>
            <w:r w:rsidR="008B4852">
              <w:rPr>
                <w:rFonts w:cstheme="minorHAnsi"/>
                <w:bCs/>
                <w:sz w:val="20"/>
                <w:szCs w:val="20"/>
              </w:rPr>
              <w:t>é</w:t>
            </w:r>
            <w:r w:rsidR="008B4852" w:rsidRPr="00DD6E92">
              <w:rPr>
                <w:rFonts w:cstheme="minorHAnsi"/>
                <w:bCs/>
                <w:sz w:val="20"/>
                <w:szCs w:val="20"/>
              </w:rPr>
              <w:t xml:space="preserve">s </w:t>
            </w:r>
            <w:r w:rsidRPr="00DD6E92">
              <w:rPr>
                <w:rFonts w:cstheme="minorHAnsi"/>
                <w:bCs/>
                <w:sz w:val="20"/>
                <w:szCs w:val="20"/>
              </w:rPr>
              <w:t>relevant du CNEAP</w:t>
            </w:r>
          </w:p>
        </w:tc>
      </w:tr>
      <w:tr w:rsidR="00DD6E92" w:rsidRPr="00DD6E92" w:rsidTr="00C17F13">
        <w:trPr>
          <w:jc w:val="center"/>
        </w:trPr>
        <w:tc>
          <w:tcPr>
            <w:tcW w:w="710" w:type="pct"/>
            <w:vAlign w:val="center"/>
            <w:hideMark/>
          </w:tcPr>
          <w:p w:rsidR="00DD6E92" w:rsidRPr="00DD6E92" w:rsidRDefault="00DD6E92" w:rsidP="00DD6E92">
            <w:pPr>
              <w:spacing w:after="0"/>
              <w:ind w:left="180"/>
              <w:jc w:val="center"/>
              <w:rPr>
                <w:rFonts w:cstheme="minorHAnsi"/>
                <w:sz w:val="20"/>
                <w:szCs w:val="20"/>
              </w:rPr>
            </w:pPr>
            <w:r w:rsidRPr="00DD6E92">
              <w:rPr>
                <w:rFonts w:cstheme="minorHAnsi"/>
                <w:sz w:val="20"/>
                <w:szCs w:val="20"/>
              </w:rPr>
              <w:t>9999</w:t>
            </w:r>
          </w:p>
        </w:tc>
        <w:tc>
          <w:tcPr>
            <w:tcW w:w="4290" w:type="pct"/>
            <w:vAlign w:val="center"/>
            <w:hideMark/>
          </w:tcPr>
          <w:p w:rsidR="00DD6E92" w:rsidRPr="00DD6E92" w:rsidRDefault="00DD6E92" w:rsidP="00DD6E92">
            <w:pPr>
              <w:spacing w:after="0"/>
              <w:ind w:left="439"/>
              <w:rPr>
                <w:rFonts w:cstheme="minorHAnsi"/>
                <w:sz w:val="20"/>
                <w:szCs w:val="20"/>
              </w:rPr>
            </w:pPr>
            <w:r w:rsidRPr="00DD6E92">
              <w:rPr>
                <w:rFonts w:cstheme="minorHAnsi"/>
                <w:sz w:val="20"/>
                <w:szCs w:val="20"/>
              </w:rPr>
              <w:t>Chefs d’établissements du premier et second degré relevant des statuts du chef d’établissement de l’Enseignement catholique</w:t>
            </w:r>
          </w:p>
        </w:tc>
      </w:tr>
    </w:tbl>
    <w:p w:rsidR="00DD6E92" w:rsidRPr="00DD6E92" w:rsidRDefault="00DD6E92" w:rsidP="00DD6E92">
      <w:pPr>
        <w:spacing w:after="0"/>
        <w:rPr>
          <w:rFonts w:cstheme="minorHAnsi"/>
          <w:szCs w:val="22"/>
        </w:rPr>
      </w:pPr>
    </w:p>
    <w:p w:rsidR="00DD6E92" w:rsidRDefault="00DD6E92">
      <w:pPr>
        <w:spacing w:line="276" w:lineRule="auto"/>
        <w:jc w:val="left"/>
      </w:pPr>
      <w:r>
        <w:br w:type="page"/>
      </w:r>
    </w:p>
    <w:p w:rsidR="00DD6E92" w:rsidRPr="00C17F13" w:rsidRDefault="00406865" w:rsidP="00C17F13">
      <w:pPr>
        <w:pStyle w:val="Citationintense"/>
      </w:pPr>
      <w:bookmarkStart w:id="3" w:name="_Toc432788896"/>
      <w:r w:rsidRPr="00C17F13">
        <w:t>1.</w:t>
      </w:r>
      <w:r w:rsidR="00046388" w:rsidRPr="00C17F13">
        <w:t>2</w:t>
      </w:r>
      <w:r w:rsidR="00DD6E92" w:rsidRPr="00C17F13">
        <w:t xml:space="preserve"> Priorités de branche</w:t>
      </w:r>
      <w:bookmarkEnd w:id="3"/>
    </w:p>
    <w:p w:rsidR="00DD6E92" w:rsidRPr="0000235A" w:rsidRDefault="00DD6E92" w:rsidP="00DD6E92">
      <w:pPr>
        <w:widowControl w:val="0"/>
        <w:autoSpaceDE w:val="0"/>
        <w:autoSpaceDN w:val="0"/>
        <w:adjustRightInd w:val="0"/>
        <w:spacing w:after="0"/>
        <w:rPr>
          <w:rFonts w:cs="TimesNewRomanPS-BoldMT"/>
          <w:szCs w:val="22"/>
          <w:lang w:eastAsia="fr-FR"/>
        </w:rPr>
      </w:pPr>
      <w:r w:rsidRPr="0000235A">
        <w:rPr>
          <w:rFonts w:cs="TimesNewRomanPS-BoldMT"/>
          <w:szCs w:val="22"/>
          <w:lang w:eastAsia="fr-FR"/>
        </w:rPr>
        <w:t xml:space="preserve">Les parties signataires du présent accord entendent comme prioritaires dans les branches concernées les formations visant à : </w:t>
      </w:r>
    </w:p>
    <w:p w:rsidR="00DD6E92" w:rsidRDefault="00DD6E92" w:rsidP="00902C89">
      <w:pPr>
        <w:pStyle w:val="Paragraphedeliste"/>
        <w:widowControl w:val="0"/>
        <w:numPr>
          <w:ilvl w:val="0"/>
          <w:numId w:val="17"/>
        </w:numPr>
        <w:autoSpaceDE w:val="0"/>
        <w:autoSpaceDN w:val="0"/>
        <w:adjustRightInd w:val="0"/>
        <w:spacing w:before="200" w:after="120" w:line="276" w:lineRule="auto"/>
        <w:ind w:hanging="357"/>
        <w:contextualSpacing w:val="0"/>
        <w:rPr>
          <w:rFonts w:cs="TimesNewRomanPS-BoldMT"/>
          <w:szCs w:val="22"/>
          <w:lang w:eastAsia="fr-FR"/>
        </w:rPr>
      </w:pPr>
      <w:r w:rsidRPr="003C1818">
        <w:rPr>
          <w:rFonts w:cs="TimesNewRomanPS-BoldMT"/>
          <w:szCs w:val="22"/>
          <w:lang w:eastAsia="fr-FR"/>
        </w:rPr>
        <w:t xml:space="preserve">acquérir une qualification reconnue par les conventions collectives du champ du présent accord ou par la </w:t>
      </w:r>
      <w:r w:rsidR="00D72E39">
        <w:rPr>
          <w:rFonts w:cs="Helvetica-Bold"/>
          <w:szCs w:val="22"/>
          <w:lang w:eastAsia="fr-FR"/>
        </w:rPr>
        <w:t>CPNE</w:t>
      </w:r>
      <w:r w:rsidR="006E2F27">
        <w:rPr>
          <w:rFonts w:cs="Helvetica-Bold"/>
          <w:szCs w:val="22"/>
          <w:lang w:eastAsia="fr-FR"/>
        </w:rPr>
        <w:t xml:space="preserve"> </w:t>
      </w:r>
      <w:r w:rsidR="00D72E39">
        <w:rPr>
          <w:rFonts w:cs="Helvetica-Bold"/>
          <w:szCs w:val="22"/>
          <w:lang w:eastAsia="fr-FR"/>
        </w:rPr>
        <w:t>FP</w:t>
      </w:r>
      <w:r w:rsidR="006E2F27">
        <w:rPr>
          <w:rFonts w:cs="Helvetica-Bold"/>
          <w:szCs w:val="22"/>
          <w:lang w:eastAsia="fr-FR"/>
        </w:rPr>
        <w:t xml:space="preserve"> visée dans l’article 2</w:t>
      </w:r>
      <w:r w:rsidR="00015937">
        <w:rPr>
          <w:rFonts w:cs="Helvetica-Bold"/>
          <w:szCs w:val="22"/>
          <w:lang w:eastAsia="fr-FR"/>
        </w:rPr>
        <w:t>.1</w:t>
      </w:r>
      <w:r w:rsidRPr="003C1818">
        <w:rPr>
          <w:rFonts w:cs="TimesNewRomanPS-BoldMT"/>
          <w:szCs w:val="22"/>
          <w:lang w:eastAsia="fr-FR"/>
        </w:rPr>
        <w:t xml:space="preserve">, dont les </w:t>
      </w:r>
      <w:r w:rsidRPr="003C1818">
        <w:rPr>
          <w:szCs w:val="22"/>
        </w:rPr>
        <w:t xml:space="preserve">Certificats de Qualification Professionnelle </w:t>
      </w:r>
      <w:r w:rsidR="009A54F7">
        <w:rPr>
          <w:szCs w:val="22"/>
        </w:rPr>
        <w:br/>
      </w:r>
      <w:r w:rsidRPr="003C1818">
        <w:rPr>
          <w:rFonts w:cs="TimesNewRomanPS-BoldMT"/>
          <w:szCs w:val="22"/>
          <w:lang w:eastAsia="fr-FR"/>
        </w:rPr>
        <w:t>(cf</w:t>
      </w:r>
      <w:r w:rsidR="009A54F7">
        <w:rPr>
          <w:rFonts w:cs="TimesNewRomanPS-BoldMT"/>
          <w:szCs w:val="22"/>
          <w:lang w:eastAsia="fr-FR"/>
        </w:rPr>
        <w:t>.</w:t>
      </w:r>
      <w:r w:rsidRPr="003C1818">
        <w:rPr>
          <w:rFonts w:cs="TimesNewRomanPS-BoldMT"/>
          <w:szCs w:val="22"/>
          <w:lang w:eastAsia="fr-FR"/>
        </w:rPr>
        <w:t xml:space="preserve"> annexe</w:t>
      </w:r>
      <w:r w:rsidR="00CF6DA4">
        <w:rPr>
          <w:rFonts w:cs="TimesNewRomanPS-BoldMT"/>
          <w:szCs w:val="22"/>
          <w:lang w:eastAsia="fr-FR"/>
        </w:rPr>
        <w:t xml:space="preserve"> </w:t>
      </w:r>
      <w:r w:rsidR="00902C89">
        <w:rPr>
          <w:rFonts w:cs="TimesNewRomanPS-BoldMT"/>
          <w:szCs w:val="22"/>
          <w:lang w:eastAsia="fr-FR"/>
        </w:rPr>
        <w:t>1</w:t>
      </w:r>
      <w:r w:rsidRPr="003C1818">
        <w:rPr>
          <w:rFonts w:cs="TimesNewRomanPS-BoldMT"/>
          <w:szCs w:val="22"/>
          <w:lang w:eastAsia="fr-FR"/>
        </w:rPr>
        <w:t>)</w:t>
      </w:r>
      <w:r w:rsidR="00B50D22">
        <w:rPr>
          <w:rFonts w:cs="TimesNewRomanPS-BoldMT"/>
          <w:szCs w:val="22"/>
          <w:lang w:eastAsia="fr-FR"/>
        </w:rPr>
        <w:t> ;</w:t>
      </w:r>
    </w:p>
    <w:p w:rsidR="00DD6E92" w:rsidRPr="00E6152E" w:rsidRDefault="00CF6DA4" w:rsidP="00902C89">
      <w:pPr>
        <w:pStyle w:val="Paragraphedeliste"/>
        <w:widowControl w:val="0"/>
        <w:numPr>
          <w:ilvl w:val="0"/>
          <w:numId w:val="17"/>
        </w:numPr>
        <w:autoSpaceDE w:val="0"/>
        <w:autoSpaceDN w:val="0"/>
        <w:adjustRightInd w:val="0"/>
        <w:spacing w:after="120" w:line="276" w:lineRule="auto"/>
        <w:contextualSpacing w:val="0"/>
        <w:rPr>
          <w:rFonts w:cs="TimesNewRomanPS-BoldMT"/>
          <w:szCs w:val="22"/>
          <w:lang w:eastAsia="fr-FR"/>
        </w:rPr>
      </w:pPr>
      <w:r w:rsidRPr="00E6152E">
        <w:rPr>
          <w:szCs w:val="22"/>
        </w:rPr>
        <w:t>p</w:t>
      </w:r>
      <w:r w:rsidR="00DD6E92" w:rsidRPr="00E6152E">
        <w:rPr>
          <w:szCs w:val="22"/>
        </w:rPr>
        <w:t>ermettre l’a</w:t>
      </w:r>
      <w:r w:rsidR="00E6152E" w:rsidRPr="00E6152E">
        <w:rPr>
          <w:szCs w:val="22"/>
        </w:rPr>
        <w:t xml:space="preserve">ccès au « Socle de connaissances </w:t>
      </w:r>
      <w:r w:rsidR="00DD6E92" w:rsidRPr="00E6152E">
        <w:rPr>
          <w:szCs w:val="22"/>
        </w:rPr>
        <w:t>et de compétences professionnelles »</w:t>
      </w:r>
      <w:r w:rsidRPr="00E6152E">
        <w:rPr>
          <w:szCs w:val="22"/>
        </w:rPr>
        <w:t>,</w:t>
      </w:r>
      <w:r w:rsidR="00DD6E92" w:rsidRPr="00E6152E">
        <w:rPr>
          <w:szCs w:val="22"/>
        </w:rPr>
        <w:t xml:space="preserve"> tel que défini par la loi </w:t>
      </w:r>
      <w:r w:rsidR="009A54F7">
        <w:rPr>
          <w:szCs w:val="22"/>
          <w:lang w:eastAsia="fr-FR"/>
        </w:rPr>
        <w:t xml:space="preserve">n°2014-288 </w:t>
      </w:r>
      <w:r w:rsidR="00DD6E92" w:rsidRPr="00E6152E">
        <w:rPr>
          <w:szCs w:val="22"/>
        </w:rPr>
        <w:t>du 5 mars 2014</w:t>
      </w:r>
      <w:r w:rsidR="006E2F27">
        <w:rPr>
          <w:szCs w:val="22"/>
        </w:rPr>
        <w:t>. L</w:t>
      </w:r>
      <w:r w:rsidRPr="00E6152E">
        <w:rPr>
          <w:szCs w:val="22"/>
        </w:rPr>
        <w:t xml:space="preserve">e </w:t>
      </w:r>
      <w:r w:rsidR="00DD6E92" w:rsidRPr="00E6152E">
        <w:rPr>
          <w:szCs w:val="22"/>
        </w:rPr>
        <w:t>socle fai</w:t>
      </w:r>
      <w:r w:rsidR="00B50D22">
        <w:rPr>
          <w:szCs w:val="22"/>
        </w:rPr>
        <w:t>t</w:t>
      </w:r>
      <w:r w:rsidR="00DD6E92" w:rsidRPr="00E6152E">
        <w:rPr>
          <w:szCs w:val="22"/>
        </w:rPr>
        <w:t xml:space="preserve"> l’objet d’une certification inscrite de dro</w:t>
      </w:r>
      <w:r w:rsidRPr="00E6152E">
        <w:rPr>
          <w:szCs w:val="22"/>
        </w:rPr>
        <w:t>it à l’inventaire et éligible à</w:t>
      </w:r>
      <w:r w:rsidR="00DD6E92" w:rsidRPr="00E6152E">
        <w:rPr>
          <w:szCs w:val="22"/>
        </w:rPr>
        <w:t xml:space="preserve"> l’ensemble des dispositifs de formation professionnelle, dont l</w:t>
      </w:r>
      <w:r w:rsidR="00B50D22">
        <w:rPr>
          <w:szCs w:val="22"/>
        </w:rPr>
        <w:t>e compte personnel de formation ;</w:t>
      </w:r>
    </w:p>
    <w:p w:rsidR="00DD6E92" w:rsidRDefault="00CF6DA4" w:rsidP="00902C89">
      <w:pPr>
        <w:pStyle w:val="Paragraphedeliste"/>
        <w:widowControl w:val="0"/>
        <w:numPr>
          <w:ilvl w:val="0"/>
          <w:numId w:val="17"/>
        </w:numPr>
        <w:autoSpaceDE w:val="0"/>
        <w:autoSpaceDN w:val="0"/>
        <w:adjustRightInd w:val="0"/>
        <w:spacing w:after="120" w:line="276" w:lineRule="auto"/>
        <w:contextualSpacing w:val="0"/>
        <w:rPr>
          <w:rFonts w:cs="TimesNewRomanPS-BoldMT"/>
          <w:szCs w:val="22"/>
        </w:rPr>
      </w:pPr>
      <w:r>
        <w:rPr>
          <w:rFonts w:cs="TimesNewRomanPS-BoldMT"/>
          <w:szCs w:val="22"/>
        </w:rPr>
        <w:t xml:space="preserve">favoriser l’accès aux </w:t>
      </w:r>
      <w:r w:rsidR="00DD6E92" w:rsidRPr="0000235A">
        <w:rPr>
          <w:rFonts w:cs="TimesNewRomanPS-BoldMT"/>
          <w:szCs w:val="22"/>
        </w:rPr>
        <w:t>formations dont l'objectif est l'appropriation des données de l'environnement institutionnel (systèmes éducatifs enseignement privé sous contrat</w:t>
      </w:r>
      <w:r w:rsidR="006E2F27">
        <w:rPr>
          <w:rFonts w:cs="TimesNewRomanPS-BoldMT"/>
          <w:szCs w:val="22"/>
        </w:rPr>
        <w:t xml:space="preserve">, </w:t>
      </w:r>
      <w:r w:rsidR="00DD6E92" w:rsidRPr="0000235A">
        <w:rPr>
          <w:rFonts w:cs="TimesNewRomanPS-BoldMT"/>
          <w:szCs w:val="22"/>
        </w:rPr>
        <w:t>données nécessaires à l'exercice du métier</w:t>
      </w:r>
      <w:r w:rsidR="006E2F27">
        <w:rPr>
          <w:rFonts w:cs="TimesNewRomanPS-BoldMT"/>
          <w:szCs w:val="22"/>
        </w:rPr>
        <w:t xml:space="preserve">, </w:t>
      </w:r>
      <w:r w:rsidR="00DD6E92" w:rsidRPr="0000235A">
        <w:rPr>
          <w:rFonts w:cs="TimesNewRomanPS-BoldMT"/>
          <w:szCs w:val="22"/>
        </w:rPr>
        <w:t>évolution des jeunes et de leurs familles)</w:t>
      </w:r>
      <w:r w:rsidR="00B50D22">
        <w:rPr>
          <w:rFonts w:cs="TimesNewRomanPS-BoldMT"/>
          <w:szCs w:val="22"/>
        </w:rPr>
        <w:t> ;</w:t>
      </w:r>
    </w:p>
    <w:p w:rsidR="00DD6E92" w:rsidRDefault="00DD6E92" w:rsidP="00902C89">
      <w:pPr>
        <w:pStyle w:val="Paragraphedeliste"/>
        <w:widowControl w:val="0"/>
        <w:numPr>
          <w:ilvl w:val="0"/>
          <w:numId w:val="17"/>
        </w:numPr>
        <w:autoSpaceDE w:val="0"/>
        <w:autoSpaceDN w:val="0"/>
        <w:adjustRightInd w:val="0"/>
        <w:spacing w:after="120" w:line="276" w:lineRule="auto"/>
        <w:contextualSpacing w:val="0"/>
        <w:rPr>
          <w:rFonts w:cs="TimesNewRomanPS-BoldMT"/>
          <w:szCs w:val="22"/>
          <w:lang w:eastAsia="fr-FR"/>
        </w:rPr>
      </w:pPr>
      <w:r w:rsidRPr="0000235A">
        <w:rPr>
          <w:rFonts w:cs="TimesNewRomanPS-BoldMT"/>
          <w:szCs w:val="22"/>
          <w:lang w:eastAsia="fr-FR"/>
        </w:rPr>
        <w:t>acquérir des pré</w:t>
      </w:r>
      <w:r w:rsidR="00DD4CEB">
        <w:rPr>
          <w:rFonts w:cs="TimesNewRomanPS-BoldMT"/>
          <w:szCs w:val="22"/>
          <w:lang w:eastAsia="fr-FR"/>
        </w:rPr>
        <w:t>-</w:t>
      </w:r>
      <w:r w:rsidRPr="0000235A">
        <w:rPr>
          <w:rFonts w:cs="TimesNewRomanPS-BoldMT"/>
          <w:szCs w:val="22"/>
          <w:lang w:eastAsia="fr-FR"/>
        </w:rPr>
        <w:t>requis en vue de l’acquisition ultérieu</w:t>
      </w:r>
      <w:r w:rsidR="00B50D22">
        <w:rPr>
          <w:rFonts w:cs="TimesNewRomanPS-BoldMT"/>
          <w:szCs w:val="22"/>
          <w:lang w:eastAsia="fr-FR"/>
        </w:rPr>
        <w:t>re d’une qualification reconnue ;</w:t>
      </w:r>
    </w:p>
    <w:p w:rsidR="00DD6E92" w:rsidRDefault="00401618" w:rsidP="00902C89">
      <w:pPr>
        <w:pStyle w:val="Paragraphedeliste"/>
        <w:widowControl w:val="0"/>
        <w:numPr>
          <w:ilvl w:val="0"/>
          <w:numId w:val="17"/>
        </w:numPr>
        <w:autoSpaceDE w:val="0"/>
        <w:autoSpaceDN w:val="0"/>
        <w:adjustRightInd w:val="0"/>
        <w:spacing w:after="120" w:line="276" w:lineRule="auto"/>
        <w:contextualSpacing w:val="0"/>
        <w:rPr>
          <w:rFonts w:cs="TimesNewRomanPS-BoldMT"/>
          <w:szCs w:val="22"/>
        </w:rPr>
      </w:pPr>
      <w:r>
        <w:rPr>
          <w:rFonts w:cs="TimesNewRomanPS-BoldMT"/>
          <w:szCs w:val="22"/>
        </w:rPr>
        <w:t>se perfectionner</w:t>
      </w:r>
      <w:r w:rsidR="00DD6E92" w:rsidRPr="0000235A">
        <w:rPr>
          <w:rFonts w:cs="TimesNewRomanPS-BoldMT"/>
          <w:szCs w:val="22"/>
        </w:rPr>
        <w:t xml:space="preserve"> à la conduite d'équipes et à la conduite des entretiens pour des personnels en responsabilité hiérarchique</w:t>
      </w:r>
      <w:r w:rsidR="00B50D22">
        <w:rPr>
          <w:rFonts w:cs="TimesNewRomanPS-BoldMT"/>
          <w:szCs w:val="22"/>
        </w:rPr>
        <w:t>.</w:t>
      </w:r>
    </w:p>
    <w:p w:rsidR="00DD6E92" w:rsidRPr="0000235A" w:rsidRDefault="00DD6E92" w:rsidP="00DD6E92">
      <w:pPr>
        <w:pStyle w:val="Paragraphedeliste"/>
        <w:widowControl w:val="0"/>
        <w:autoSpaceDE w:val="0"/>
        <w:autoSpaceDN w:val="0"/>
        <w:adjustRightInd w:val="0"/>
        <w:spacing w:after="0"/>
        <w:ind w:left="862"/>
        <w:rPr>
          <w:rFonts w:cs="TimesNewRomanPS-BoldMT"/>
          <w:szCs w:val="22"/>
        </w:rPr>
      </w:pPr>
    </w:p>
    <w:p w:rsidR="00DD6E92" w:rsidRDefault="00DD6E92" w:rsidP="00DD6E92">
      <w:pPr>
        <w:rPr>
          <w:szCs w:val="22"/>
        </w:rPr>
      </w:pPr>
      <w:r w:rsidRPr="00E361F5">
        <w:rPr>
          <w:szCs w:val="22"/>
        </w:rPr>
        <w:t xml:space="preserve">Ces priorités de branche n'ont pas à être hiérarchisées entre elles. </w:t>
      </w:r>
    </w:p>
    <w:p w:rsidR="00DD6E92" w:rsidRDefault="00DD6E92">
      <w:pPr>
        <w:spacing w:line="276" w:lineRule="auto"/>
        <w:jc w:val="left"/>
        <w:rPr>
          <w:szCs w:val="22"/>
        </w:rPr>
      </w:pPr>
      <w:r>
        <w:rPr>
          <w:szCs w:val="22"/>
        </w:rPr>
        <w:br w:type="page"/>
      </w:r>
    </w:p>
    <w:p w:rsidR="00DD6E92" w:rsidRPr="00C17F13" w:rsidRDefault="00DD6E92" w:rsidP="00C17F13">
      <w:pPr>
        <w:pStyle w:val="Style6"/>
      </w:pPr>
      <w:bookmarkStart w:id="4" w:name="_Toc432788897"/>
      <w:r w:rsidRPr="00C17F13">
        <w:t>Les Instances paritaires de l</w:t>
      </w:r>
      <w:r w:rsidR="00E67918" w:rsidRPr="00C17F13">
        <w:t>’Interbranches</w:t>
      </w:r>
      <w:bookmarkEnd w:id="4"/>
      <w:r w:rsidR="00E67918" w:rsidRPr="00C17F13">
        <w:t xml:space="preserve"> </w:t>
      </w:r>
    </w:p>
    <w:p w:rsidR="00DD6E92" w:rsidRPr="00C17F13" w:rsidRDefault="0093773D" w:rsidP="00C17F13">
      <w:pPr>
        <w:pStyle w:val="Style9"/>
      </w:pPr>
      <w:bookmarkStart w:id="5" w:name="_Toc432788898"/>
      <w:r w:rsidRPr="00C17F13">
        <w:t xml:space="preserve">2.1 </w:t>
      </w:r>
      <w:r w:rsidR="00C0496B" w:rsidRPr="00C17F13">
        <w:t>La CPN EEP Formation</w:t>
      </w:r>
      <w:bookmarkEnd w:id="5"/>
    </w:p>
    <w:p w:rsidR="00C0496B" w:rsidRDefault="00C0496B" w:rsidP="00C0496B">
      <w:pPr>
        <w:spacing w:after="0"/>
        <w:rPr>
          <w:rFonts w:cstheme="minorHAnsi"/>
          <w:szCs w:val="22"/>
        </w:rPr>
      </w:pPr>
      <w:r w:rsidRPr="00C0496B">
        <w:rPr>
          <w:rFonts w:cstheme="minorHAnsi"/>
          <w:szCs w:val="22"/>
        </w:rPr>
        <w:t xml:space="preserve">Afin de coordonner les acteurs et </w:t>
      </w:r>
      <w:r w:rsidR="00331A5A">
        <w:rPr>
          <w:rFonts w:cstheme="minorHAnsi"/>
          <w:szCs w:val="22"/>
        </w:rPr>
        <w:t xml:space="preserve">les </w:t>
      </w:r>
      <w:r w:rsidRPr="00C0496B">
        <w:rPr>
          <w:rFonts w:cstheme="minorHAnsi"/>
          <w:szCs w:val="22"/>
        </w:rPr>
        <w:t>instances dans le domaine de la formation professionnelle de l’</w:t>
      </w:r>
      <w:r w:rsidR="00445DE5">
        <w:rPr>
          <w:rFonts w:cstheme="minorHAnsi"/>
          <w:szCs w:val="22"/>
        </w:rPr>
        <w:t>I</w:t>
      </w:r>
      <w:r w:rsidRPr="00C0496B">
        <w:rPr>
          <w:rFonts w:cstheme="minorHAnsi"/>
          <w:szCs w:val="22"/>
        </w:rPr>
        <w:t xml:space="preserve">nterbranches, une Commission Paritaire Nationale de l’Emploi et de la Formation professionnelle est créée. </w:t>
      </w:r>
      <w:r w:rsidR="008B4852" w:rsidRPr="00C0496B">
        <w:rPr>
          <w:rFonts w:cstheme="minorHAnsi"/>
          <w:szCs w:val="22"/>
        </w:rPr>
        <w:t xml:space="preserve">Elle est désignée </w:t>
      </w:r>
      <w:r w:rsidR="008B4852" w:rsidRPr="00C0496B">
        <w:rPr>
          <w:rFonts w:cstheme="minorHAnsi"/>
          <w:i/>
          <w:szCs w:val="22"/>
        </w:rPr>
        <w:t>CPN EEP Formation</w:t>
      </w:r>
    </w:p>
    <w:p w:rsidR="00DF1D66" w:rsidRPr="00C0496B" w:rsidRDefault="00DF1D66" w:rsidP="00C0496B">
      <w:pPr>
        <w:spacing w:after="0"/>
        <w:rPr>
          <w:rFonts w:cstheme="minorHAnsi"/>
          <w:szCs w:val="22"/>
        </w:rPr>
      </w:pPr>
    </w:p>
    <w:p w:rsidR="00C0496B" w:rsidRDefault="00C0496B" w:rsidP="00C0496B">
      <w:pPr>
        <w:spacing w:after="0"/>
        <w:rPr>
          <w:rFonts w:cstheme="minorHAnsi"/>
          <w:szCs w:val="22"/>
        </w:rPr>
      </w:pPr>
      <w:r w:rsidRPr="00C0496B">
        <w:rPr>
          <w:rFonts w:cstheme="minorHAnsi"/>
          <w:szCs w:val="22"/>
        </w:rPr>
        <w:t>En application des dispositions légales et du présent accord, elle</w:t>
      </w:r>
      <w:r w:rsidR="00443A76">
        <w:rPr>
          <w:rFonts w:cstheme="minorHAnsi"/>
          <w:szCs w:val="22"/>
        </w:rPr>
        <w:t xml:space="preserve"> est</w:t>
      </w:r>
      <w:r w:rsidRPr="00C0496B">
        <w:rPr>
          <w:rFonts w:cstheme="minorHAnsi"/>
          <w:szCs w:val="22"/>
        </w:rPr>
        <w:t xml:space="preserve"> </w:t>
      </w:r>
      <w:r w:rsidR="00443A76">
        <w:rPr>
          <w:rFonts w:cstheme="minorHAnsi"/>
          <w:szCs w:val="22"/>
        </w:rPr>
        <w:t>l’</w:t>
      </w:r>
      <w:r w:rsidRPr="00C0496B">
        <w:rPr>
          <w:rFonts w:cstheme="minorHAnsi"/>
          <w:szCs w:val="22"/>
        </w:rPr>
        <w:t>instance ayant compétence :</w:t>
      </w:r>
    </w:p>
    <w:p w:rsidR="00C0496B" w:rsidRPr="00C0496B" w:rsidRDefault="00C0496B" w:rsidP="009A54F7">
      <w:pPr>
        <w:numPr>
          <w:ilvl w:val="0"/>
          <w:numId w:val="2"/>
        </w:numPr>
        <w:spacing w:before="200" w:after="120" w:line="276" w:lineRule="auto"/>
        <w:ind w:left="714" w:hanging="357"/>
        <w:rPr>
          <w:rFonts w:cstheme="minorHAnsi"/>
          <w:szCs w:val="22"/>
        </w:rPr>
      </w:pPr>
      <w:r w:rsidRPr="00C0496B">
        <w:rPr>
          <w:rFonts w:cstheme="minorHAnsi"/>
          <w:szCs w:val="22"/>
        </w:rPr>
        <w:t>pour déterminer la politique, les orientations, les priorités et les moyens en la matière</w:t>
      </w:r>
      <w:r w:rsidR="00443A76" w:rsidRPr="00443A76">
        <w:rPr>
          <w:rFonts w:cstheme="minorHAnsi"/>
          <w:szCs w:val="22"/>
        </w:rPr>
        <w:t xml:space="preserve"> </w:t>
      </w:r>
      <w:r w:rsidR="00443A76">
        <w:rPr>
          <w:rFonts w:cstheme="minorHAnsi"/>
          <w:szCs w:val="22"/>
        </w:rPr>
        <w:t>en fonction des besoins</w:t>
      </w:r>
      <w:r w:rsidRPr="00C0496B">
        <w:rPr>
          <w:rFonts w:cstheme="minorHAnsi"/>
          <w:szCs w:val="22"/>
        </w:rPr>
        <w:t xml:space="preserve">. </w:t>
      </w:r>
      <w:r w:rsidR="00443A76">
        <w:rPr>
          <w:rFonts w:cstheme="minorHAnsi"/>
          <w:szCs w:val="22"/>
        </w:rPr>
        <w:t xml:space="preserve">Ceux-ci peuvent être exprimés </w:t>
      </w:r>
      <w:r w:rsidR="008B4852">
        <w:rPr>
          <w:rFonts w:cstheme="minorHAnsi"/>
          <w:szCs w:val="22"/>
        </w:rPr>
        <w:t xml:space="preserve"> par </w:t>
      </w:r>
      <w:r w:rsidR="00443A76">
        <w:rPr>
          <w:rFonts w:cstheme="minorHAnsi"/>
          <w:szCs w:val="22"/>
        </w:rPr>
        <w:t>le</w:t>
      </w:r>
      <w:r w:rsidR="008B4852">
        <w:rPr>
          <w:rFonts w:cstheme="minorHAnsi"/>
          <w:szCs w:val="22"/>
        </w:rPr>
        <w:t>s</w:t>
      </w:r>
      <w:r w:rsidR="00443A76">
        <w:rPr>
          <w:rFonts w:cstheme="minorHAnsi"/>
          <w:szCs w:val="22"/>
        </w:rPr>
        <w:t xml:space="preserve"> partenaires sociaux des </w:t>
      </w:r>
      <w:r w:rsidR="00D20F24">
        <w:rPr>
          <w:rFonts w:cstheme="minorHAnsi"/>
          <w:szCs w:val="22"/>
        </w:rPr>
        <w:t>b</w:t>
      </w:r>
      <w:r w:rsidR="00443A76">
        <w:rPr>
          <w:rFonts w:cstheme="minorHAnsi"/>
          <w:szCs w:val="22"/>
        </w:rPr>
        <w:t>ranches professionnelles relevant du champ du présent accord</w:t>
      </w:r>
      <w:r w:rsidR="00015937">
        <w:rPr>
          <w:rFonts w:cstheme="minorHAnsi"/>
          <w:szCs w:val="22"/>
        </w:rPr>
        <w:t> ;</w:t>
      </w:r>
    </w:p>
    <w:p w:rsidR="00C0496B" w:rsidRPr="00C0496B" w:rsidRDefault="00331A5A" w:rsidP="007343A3">
      <w:pPr>
        <w:numPr>
          <w:ilvl w:val="0"/>
          <w:numId w:val="2"/>
        </w:numPr>
        <w:spacing w:before="200" w:after="120" w:line="276" w:lineRule="auto"/>
        <w:ind w:left="714" w:hanging="357"/>
        <w:rPr>
          <w:rFonts w:cstheme="minorHAnsi"/>
          <w:szCs w:val="22"/>
        </w:rPr>
      </w:pPr>
      <w:r w:rsidRPr="00550470">
        <w:rPr>
          <w:rFonts w:cstheme="minorHAnsi"/>
          <w:szCs w:val="22"/>
        </w:rPr>
        <w:t>mettre en œuvre</w:t>
      </w:r>
      <w:r w:rsidR="00D20F24" w:rsidRPr="00550470">
        <w:rPr>
          <w:rFonts w:cstheme="minorHAnsi"/>
          <w:szCs w:val="22"/>
        </w:rPr>
        <w:t>, dans ce cadre</w:t>
      </w:r>
      <w:r w:rsidR="00D20F24">
        <w:rPr>
          <w:rFonts w:cstheme="minorHAnsi"/>
          <w:szCs w:val="22"/>
        </w:rPr>
        <w:t>,</w:t>
      </w:r>
      <w:r w:rsidR="00D20F24" w:rsidRPr="00550470">
        <w:rPr>
          <w:rFonts w:cstheme="minorHAnsi"/>
          <w:szCs w:val="22"/>
        </w:rPr>
        <w:t xml:space="preserve"> </w:t>
      </w:r>
      <w:r w:rsidRPr="00550470">
        <w:rPr>
          <w:rFonts w:cstheme="minorHAnsi"/>
          <w:szCs w:val="22"/>
        </w:rPr>
        <w:t>les</w:t>
      </w:r>
      <w:r w:rsidR="00C0496B" w:rsidRPr="00550470">
        <w:rPr>
          <w:rFonts w:cstheme="minorHAnsi"/>
          <w:szCs w:val="22"/>
        </w:rPr>
        <w:t xml:space="preserve"> dispositif</w:t>
      </w:r>
      <w:r w:rsidRPr="00550470">
        <w:rPr>
          <w:rFonts w:cstheme="minorHAnsi"/>
          <w:szCs w:val="22"/>
        </w:rPr>
        <w:t>s</w:t>
      </w:r>
      <w:r w:rsidR="00C0496B" w:rsidRPr="00550470">
        <w:rPr>
          <w:rFonts w:cstheme="minorHAnsi"/>
          <w:szCs w:val="22"/>
        </w:rPr>
        <w:t xml:space="preserve"> et les procédures adéquats.</w:t>
      </w:r>
    </w:p>
    <w:p w:rsidR="003435F5" w:rsidRPr="00C17F13" w:rsidRDefault="0093773D" w:rsidP="00C17F13">
      <w:pPr>
        <w:pStyle w:val="Titre1"/>
      </w:pPr>
      <w:bookmarkStart w:id="6" w:name="_Toc432788899"/>
      <w:r w:rsidRPr="00C17F13">
        <w:t>2.1.</w:t>
      </w:r>
      <w:r w:rsidR="00DA6892" w:rsidRPr="00C17F13">
        <w:t xml:space="preserve">1 </w:t>
      </w:r>
      <w:r w:rsidR="003435F5" w:rsidRPr="00C17F13">
        <w:t xml:space="preserve">Composition de la </w:t>
      </w:r>
      <w:r w:rsidR="003435F5" w:rsidRPr="00C17F13">
        <w:rPr>
          <w:i/>
        </w:rPr>
        <w:t>CPN EEP Formation</w:t>
      </w:r>
      <w:bookmarkEnd w:id="6"/>
    </w:p>
    <w:p w:rsidR="003435F5" w:rsidRDefault="003435F5" w:rsidP="003435F5">
      <w:pPr>
        <w:spacing w:after="0"/>
        <w:rPr>
          <w:rFonts w:cstheme="minorHAnsi"/>
          <w:szCs w:val="22"/>
        </w:rPr>
      </w:pPr>
      <w:r w:rsidRPr="003435F5">
        <w:rPr>
          <w:rFonts w:cstheme="minorHAnsi"/>
          <w:szCs w:val="22"/>
        </w:rPr>
        <w:t xml:space="preserve">La </w:t>
      </w:r>
      <w:r w:rsidRPr="003435F5">
        <w:rPr>
          <w:rFonts w:cstheme="minorHAnsi"/>
          <w:i/>
          <w:szCs w:val="22"/>
        </w:rPr>
        <w:t>CPN EEP Formation</w:t>
      </w:r>
      <w:r w:rsidRPr="003435F5">
        <w:rPr>
          <w:rFonts w:cstheme="minorHAnsi"/>
          <w:szCs w:val="22"/>
        </w:rPr>
        <w:t xml:space="preserve"> est composée des organisations </w:t>
      </w:r>
      <w:r w:rsidR="00E67918">
        <w:rPr>
          <w:rFonts w:cstheme="minorHAnsi"/>
          <w:szCs w:val="22"/>
        </w:rPr>
        <w:t xml:space="preserve">représentatives </w:t>
      </w:r>
      <w:r w:rsidRPr="003435F5">
        <w:rPr>
          <w:rFonts w:cstheme="minorHAnsi"/>
          <w:szCs w:val="22"/>
        </w:rPr>
        <w:t>signataires ou ayant adhéré au présent accord.</w:t>
      </w:r>
    </w:p>
    <w:p w:rsidR="00445DE5" w:rsidRPr="003435F5" w:rsidRDefault="00445DE5" w:rsidP="003435F5">
      <w:pPr>
        <w:spacing w:after="0"/>
        <w:rPr>
          <w:rFonts w:cstheme="minorHAnsi"/>
          <w:szCs w:val="22"/>
        </w:rPr>
      </w:pPr>
    </w:p>
    <w:p w:rsidR="003435F5" w:rsidRPr="003435F5" w:rsidRDefault="003435F5" w:rsidP="003435F5">
      <w:pPr>
        <w:spacing w:after="0"/>
        <w:rPr>
          <w:rFonts w:cstheme="minorHAnsi"/>
          <w:szCs w:val="22"/>
        </w:rPr>
      </w:pPr>
      <w:r w:rsidRPr="003435F5">
        <w:rPr>
          <w:rFonts w:cstheme="minorHAnsi"/>
          <w:szCs w:val="22"/>
        </w:rPr>
        <w:t xml:space="preserve">Les signataires se réfèrent  aux dispositions de l’accord sur le droit syndical et le dialogue social signé le </w:t>
      </w:r>
      <w:r w:rsidR="00DD4CEB">
        <w:rPr>
          <w:rFonts w:cstheme="minorHAnsi"/>
          <w:szCs w:val="22"/>
        </w:rPr>
        <w:br/>
      </w:r>
      <w:r w:rsidR="00023A16">
        <w:rPr>
          <w:rFonts w:cstheme="minorHAnsi"/>
          <w:szCs w:val="22"/>
        </w:rPr>
        <w:t xml:space="preserve">7 juillet 2015 </w:t>
      </w:r>
      <w:r w:rsidRPr="003435F5">
        <w:rPr>
          <w:rFonts w:cstheme="minorHAnsi"/>
          <w:szCs w:val="22"/>
        </w:rPr>
        <w:t xml:space="preserve">pour l’organisation de la </w:t>
      </w:r>
      <w:r w:rsidR="00D20F24">
        <w:rPr>
          <w:rFonts w:cstheme="minorHAnsi"/>
          <w:szCs w:val="22"/>
        </w:rPr>
        <w:t>C</w:t>
      </w:r>
      <w:r w:rsidRPr="003435F5">
        <w:rPr>
          <w:rFonts w:cstheme="minorHAnsi"/>
          <w:szCs w:val="22"/>
        </w:rPr>
        <w:t>ommission.</w:t>
      </w:r>
    </w:p>
    <w:p w:rsidR="003435F5" w:rsidRPr="003435F5" w:rsidRDefault="0093773D" w:rsidP="00C17F13">
      <w:pPr>
        <w:pStyle w:val="Titre1"/>
      </w:pPr>
      <w:bookmarkStart w:id="7" w:name="_Toc432788900"/>
      <w:r>
        <w:t>2.1.</w:t>
      </w:r>
      <w:r w:rsidR="00DA6892">
        <w:t xml:space="preserve">2 </w:t>
      </w:r>
      <w:r w:rsidR="003435F5" w:rsidRPr="003435F5">
        <w:t>Missions</w:t>
      </w:r>
      <w:bookmarkEnd w:id="7"/>
    </w:p>
    <w:p w:rsidR="003435F5" w:rsidRDefault="003435F5" w:rsidP="003435F5">
      <w:pPr>
        <w:spacing w:after="0"/>
        <w:rPr>
          <w:rFonts w:cstheme="minorHAnsi"/>
          <w:szCs w:val="22"/>
        </w:rPr>
      </w:pPr>
      <w:r w:rsidRPr="003435F5">
        <w:rPr>
          <w:rFonts w:cstheme="minorHAnsi"/>
          <w:szCs w:val="22"/>
        </w:rPr>
        <w:t xml:space="preserve">La </w:t>
      </w:r>
      <w:r w:rsidRPr="003435F5">
        <w:rPr>
          <w:rFonts w:cstheme="minorHAnsi"/>
          <w:i/>
          <w:szCs w:val="22"/>
        </w:rPr>
        <w:t>CPN EEP Formation</w:t>
      </w:r>
      <w:r w:rsidRPr="003435F5">
        <w:rPr>
          <w:rFonts w:cstheme="minorHAnsi"/>
          <w:szCs w:val="22"/>
        </w:rPr>
        <w:t xml:space="preserve"> a une attribution générale de promotion de la formation professionnelle en liaison avec</w:t>
      </w:r>
      <w:r w:rsidR="00603FB1">
        <w:rPr>
          <w:rFonts w:cstheme="minorHAnsi"/>
          <w:szCs w:val="22"/>
        </w:rPr>
        <w:t xml:space="preserve"> l’évolution de l’emploi dans l’Interbranches</w:t>
      </w:r>
      <w:r w:rsidRPr="003435F5">
        <w:rPr>
          <w:rFonts w:cstheme="minorHAnsi"/>
          <w:szCs w:val="22"/>
        </w:rPr>
        <w:t>.</w:t>
      </w:r>
    </w:p>
    <w:p w:rsidR="00B50D22" w:rsidRPr="003435F5" w:rsidRDefault="00B50D22" w:rsidP="003435F5">
      <w:pPr>
        <w:spacing w:after="0"/>
        <w:rPr>
          <w:rFonts w:cstheme="minorHAnsi"/>
          <w:szCs w:val="22"/>
        </w:rPr>
      </w:pPr>
    </w:p>
    <w:p w:rsidR="003435F5" w:rsidRDefault="003435F5" w:rsidP="003435F5">
      <w:pPr>
        <w:spacing w:after="0"/>
        <w:rPr>
          <w:rFonts w:cstheme="minorHAnsi"/>
          <w:szCs w:val="22"/>
        </w:rPr>
      </w:pPr>
      <w:r w:rsidRPr="003435F5">
        <w:rPr>
          <w:rFonts w:cstheme="minorHAnsi"/>
          <w:szCs w:val="22"/>
        </w:rPr>
        <w:t>Pour cela</w:t>
      </w:r>
      <w:r w:rsidR="00443A76">
        <w:rPr>
          <w:rFonts w:cstheme="minorHAnsi"/>
          <w:szCs w:val="22"/>
        </w:rPr>
        <w:t>,</w:t>
      </w:r>
      <w:r w:rsidRPr="003435F5">
        <w:rPr>
          <w:rFonts w:cstheme="minorHAnsi"/>
          <w:szCs w:val="22"/>
        </w:rPr>
        <w:t xml:space="preserve"> elle :</w:t>
      </w:r>
    </w:p>
    <w:p w:rsidR="003435F5" w:rsidRDefault="003435F5" w:rsidP="00023A16">
      <w:pPr>
        <w:numPr>
          <w:ilvl w:val="0"/>
          <w:numId w:val="3"/>
        </w:numPr>
        <w:spacing w:before="200" w:after="120" w:line="276" w:lineRule="auto"/>
        <w:ind w:left="714" w:hanging="357"/>
        <w:rPr>
          <w:rFonts w:cstheme="minorHAnsi"/>
          <w:szCs w:val="22"/>
        </w:rPr>
      </w:pPr>
      <w:r w:rsidRPr="003435F5">
        <w:rPr>
          <w:rFonts w:cstheme="minorHAnsi"/>
          <w:szCs w:val="22"/>
        </w:rPr>
        <w:t>veille à la mise en œuvre du présent accord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définit</w:t>
      </w:r>
      <w:r w:rsidR="00E67918">
        <w:rPr>
          <w:rFonts w:cstheme="minorHAnsi"/>
          <w:szCs w:val="22"/>
        </w:rPr>
        <w:t>,</w:t>
      </w:r>
      <w:r w:rsidRPr="003435F5">
        <w:rPr>
          <w:rFonts w:cstheme="minorHAnsi"/>
          <w:szCs w:val="22"/>
        </w:rPr>
        <w:t xml:space="preserve"> en lien avec les orientations </w:t>
      </w:r>
      <w:r w:rsidR="00E67918">
        <w:rPr>
          <w:rFonts w:cstheme="minorHAnsi"/>
          <w:szCs w:val="22"/>
        </w:rPr>
        <w:t xml:space="preserve">décrites dans </w:t>
      </w:r>
      <w:r w:rsidRPr="003435F5">
        <w:rPr>
          <w:rFonts w:cstheme="minorHAnsi"/>
          <w:szCs w:val="22"/>
        </w:rPr>
        <w:t>le présent accord</w:t>
      </w:r>
      <w:r w:rsidR="00E67918">
        <w:rPr>
          <w:rFonts w:cstheme="minorHAnsi"/>
          <w:szCs w:val="22"/>
        </w:rPr>
        <w:t>,</w:t>
      </w:r>
      <w:r w:rsidRPr="003435F5">
        <w:rPr>
          <w:rFonts w:cstheme="minorHAnsi"/>
          <w:szCs w:val="22"/>
        </w:rPr>
        <w:t xml:space="preserve"> la politique </w:t>
      </w:r>
      <w:r w:rsidR="00D20F24">
        <w:rPr>
          <w:rFonts w:cstheme="minorHAnsi"/>
          <w:szCs w:val="22"/>
        </w:rPr>
        <w:t>f</w:t>
      </w:r>
      <w:r w:rsidR="008B4852" w:rsidRPr="003435F5">
        <w:rPr>
          <w:rFonts w:cstheme="minorHAnsi"/>
          <w:szCs w:val="22"/>
        </w:rPr>
        <w:t xml:space="preserve">ormation </w:t>
      </w:r>
      <w:r w:rsidRPr="003435F5">
        <w:rPr>
          <w:rFonts w:cstheme="minorHAnsi"/>
          <w:szCs w:val="22"/>
        </w:rPr>
        <w:t>de l’Interbranches</w:t>
      </w:r>
      <w:r w:rsidR="008B4852">
        <w:rPr>
          <w:rFonts w:cstheme="minorHAnsi"/>
          <w:szCs w:val="22"/>
        </w:rPr>
        <w:t>, ainsi que sa</w:t>
      </w:r>
      <w:r w:rsidR="00443A76">
        <w:rPr>
          <w:rFonts w:cstheme="minorHAnsi"/>
          <w:szCs w:val="22"/>
        </w:rPr>
        <w:t xml:space="preserve"> politique prospective en matière d’emploi et de compétences (GPEC)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 xml:space="preserve">fixe les orientations </w:t>
      </w:r>
      <w:r w:rsidR="008B4852" w:rsidRPr="003435F5">
        <w:rPr>
          <w:rFonts w:cstheme="minorHAnsi"/>
          <w:szCs w:val="22"/>
        </w:rPr>
        <w:t>de l’</w:t>
      </w:r>
      <w:r w:rsidR="008B4852" w:rsidRPr="00847D07">
        <w:rPr>
          <w:rFonts w:cstheme="minorHAnsi"/>
          <w:i/>
          <w:szCs w:val="22"/>
        </w:rPr>
        <w:t>Observatoire EEP Formation </w:t>
      </w:r>
      <w:r w:rsidR="008B4852" w:rsidRPr="00603FB1">
        <w:rPr>
          <w:rFonts w:cstheme="minorHAnsi"/>
          <w:szCs w:val="22"/>
        </w:rPr>
        <w:t xml:space="preserve"> </w:t>
      </w:r>
      <w:r w:rsidR="00603FB1" w:rsidRPr="00603FB1">
        <w:rPr>
          <w:rFonts w:cstheme="minorHAnsi"/>
          <w:szCs w:val="22"/>
        </w:rPr>
        <w:t>et détermine les études et travaux</w:t>
      </w:r>
      <w:r w:rsidR="00847D07">
        <w:rPr>
          <w:rFonts w:cstheme="minorHAnsi"/>
          <w:szCs w:val="22"/>
        </w:rPr>
        <w:t>;</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 xml:space="preserve">détermine et </w:t>
      </w:r>
      <w:r w:rsidR="008B4852">
        <w:rPr>
          <w:rFonts w:cstheme="minorHAnsi"/>
          <w:szCs w:val="22"/>
        </w:rPr>
        <w:t xml:space="preserve">énumère les </w:t>
      </w:r>
      <w:r w:rsidRPr="003435F5">
        <w:rPr>
          <w:rFonts w:cstheme="minorHAnsi"/>
          <w:szCs w:val="22"/>
        </w:rPr>
        <w:t>priorités en matière de formation professionnelle continue  (public</w:t>
      </w:r>
      <w:r w:rsidR="00335FB6">
        <w:rPr>
          <w:rFonts w:cstheme="minorHAnsi"/>
          <w:szCs w:val="22"/>
        </w:rPr>
        <w:t>s</w:t>
      </w:r>
      <w:r w:rsidRPr="003435F5">
        <w:rPr>
          <w:rFonts w:cstheme="minorHAnsi"/>
          <w:szCs w:val="22"/>
        </w:rPr>
        <w:t>, action</w:t>
      </w:r>
      <w:r w:rsidR="00335FB6">
        <w:rPr>
          <w:rFonts w:cstheme="minorHAnsi"/>
          <w:szCs w:val="22"/>
        </w:rPr>
        <w:t>s</w:t>
      </w:r>
      <w:r w:rsidRPr="003435F5">
        <w:rPr>
          <w:rFonts w:cstheme="minorHAnsi"/>
          <w:szCs w:val="22"/>
        </w:rPr>
        <w:t xml:space="preserve"> de formation prioritaire</w:t>
      </w:r>
      <w:r w:rsidR="00335FB6">
        <w:rPr>
          <w:rFonts w:cstheme="minorHAnsi"/>
          <w:szCs w:val="22"/>
        </w:rPr>
        <w:t>s</w:t>
      </w:r>
      <w:r w:rsidR="00EB3837">
        <w:rPr>
          <w:rFonts w:cstheme="minorHAnsi"/>
          <w:szCs w:val="22"/>
        </w:rPr>
        <w:t>,</w:t>
      </w:r>
      <w:r w:rsidRPr="003435F5">
        <w:rPr>
          <w:rFonts w:cstheme="minorHAnsi"/>
          <w:szCs w:val="22"/>
        </w:rPr>
        <w:t xml:space="preserve"> etc.)</w:t>
      </w:r>
      <w:r w:rsidR="00E67918">
        <w:rPr>
          <w:rFonts w:cstheme="minorHAnsi"/>
          <w:szCs w:val="22"/>
        </w:rPr>
        <w:t>,</w:t>
      </w:r>
      <w:r w:rsidRPr="003435F5">
        <w:rPr>
          <w:rFonts w:cstheme="minorHAnsi"/>
          <w:szCs w:val="22"/>
        </w:rPr>
        <w:t xml:space="preserve"> en informe l’OPCA désigné et veille à sa mise en œuvre ;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 xml:space="preserve">détermine et ajuste la liste </w:t>
      </w:r>
      <w:r w:rsidR="00335FB6">
        <w:rPr>
          <w:rFonts w:cstheme="minorHAnsi"/>
          <w:szCs w:val="22"/>
        </w:rPr>
        <w:t>de</w:t>
      </w:r>
      <w:r w:rsidR="00EB3837">
        <w:rPr>
          <w:rFonts w:cstheme="minorHAnsi"/>
          <w:szCs w:val="22"/>
        </w:rPr>
        <w:t>s actions de</w:t>
      </w:r>
      <w:r w:rsidR="00335FB6">
        <w:rPr>
          <w:rFonts w:cstheme="minorHAnsi"/>
          <w:szCs w:val="22"/>
        </w:rPr>
        <w:t xml:space="preserve"> </w:t>
      </w:r>
      <w:r w:rsidRPr="003435F5">
        <w:rPr>
          <w:rFonts w:cstheme="minorHAnsi"/>
          <w:szCs w:val="22"/>
        </w:rPr>
        <w:t xml:space="preserve">formations </w:t>
      </w:r>
      <w:r w:rsidR="00335FB6">
        <w:rPr>
          <w:rFonts w:cstheme="minorHAnsi"/>
          <w:szCs w:val="22"/>
        </w:rPr>
        <w:t xml:space="preserve">de l’Interbranches </w:t>
      </w:r>
      <w:r w:rsidRPr="003435F5">
        <w:rPr>
          <w:rFonts w:cstheme="minorHAnsi"/>
          <w:szCs w:val="22"/>
        </w:rPr>
        <w:t xml:space="preserve">éligibles au </w:t>
      </w:r>
      <w:r w:rsidR="00E67918">
        <w:rPr>
          <w:rFonts w:cstheme="minorHAnsi"/>
          <w:szCs w:val="22"/>
        </w:rPr>
        <w:t xml:space="preserve">Compte Personnel </w:t>
      </w:r>
      <w:r w:rsidR="00370C2C">
        <w:rPr>
          <w:rFonts w:cstheme="minorHAnsi"/>
          <w:szCs w:val="22"/>
        </w:rPr>
        <w:t xml:space="preserve">de </w:t>
      </w:r>
      <w:r w:rsidR="00E67918">
        <w:rPr>
          <w:rFonts w:cstheme="minorHAnsi"/>
          <w:szCs w:val="22"/>
        </w:rPr>
        <w:t xml:space="preserve">Formation </w:t>
      </w:r>
      <w:r w:rsidRPr="003435F5">
        <w:rPr>
          <w:rFonts w:cstheme="minorHAnsi"/>
          <w:szCs w:val="22"/>
        </w:rPr>
        <w:t>en lien avec les besoins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pilote et met</w:t>
      </w:r>
      <w:r w:rsidR="009A2A23">
        <w:rPr>
          <w:rFonts w:cstheme="minorHAnsi"/>
          <w:szCs w:val="22"/>
        </w:rPr>
        <w:t xml:space="preserve"> en </w:t>
      </w:r>
      <w:r w:rsidRPr="003435F5">
        <w:rPr>
          <w:rFonts w:cstheme="minorHAnsi"/>
          <w:szCs w:val="22"/>
        </w:rPr>
        <w:t>œuvre la politique</w:t>
      </w:r>
      <w:r w:rsidR="00847D07">
        <w:rPr>
          <w:rFonts w:cstheme="minorHAnsi"/>
          <w:szCs w:val="22"/>
        </w:rPr>
        <w:t xml:space="preserve"> de</w:t>
      </w:r>
      <w:r w:rsidRPr="003435F5">
        <w:rPr>
          <w:rFonts w:cstheme="minorHAnsi"/>
          <w:szCs w:val="22"/>
        </w:rPr>
        <w:t xml:space="preserve"> certification de l’Interbranches ;</w:t>
      </w:r>
    </w:p>
    <w:p w:rsidR="00EB3837" w:rsidRDefault="003435F5" w:rsidP="00023A16">
      <w:pPr>
        <w:numPr>
          <w:ilvl w:val="0"/>
          <w:numId w:val="3"/>
        </w:numPr>
        <w:spacing w:after="120" w:line="276" w:lineRule="auto"/>
        <w:ind w:left="714" w:hanging="357"/>
        <w:rPr>
          <w:rFonts w:cstheme="minorHAnsi"/>
          <w:szCs w:val="22"/>
        </w:rPr>
      </w:pPr>
      <w:r w:rsidRPr="003435F5">
        <w:rPr>
          <w:rFonts w:cstheme="minorHAnsi"/>
          <w:szCs w:val="22"/>
        </w:rPr>
        <w:t>habilite</w:t>
      </w:r>
      <w:r w:rsidR="00EB3837">
        <w:rPr>
          <w:rFonts w:cstheme="minorHAnsi"/>
          <w:szCs w:val="22"/>
        </w:rPr>
        <w:t xml:space="preserve">, </w:t>
      </w:r>
      <w:r w:rsidR="00EB3837" w:rsidRPr="003435F5">
        <w:rPr>
          <w:rFonts w:cstheme="minorHAnsi"/>
          <w:szCs w:val="22"/>
        </w:rPr>
        <w:t>dans le cadre de sa politique de certification</w:t>
      </w:r>
      <w:r w:rsidR="00EB3837">
        <w:rPr>
          <w:rFonts w:cstheme="minorHAnsi"/>
          <w:szCs w:val="22"/>
        </w:rPr>
        <w:t>,</w:t>
      </w:r>
      <w:r w:rsidR="00EB3837" w:rsidRPr="003435F5">
        <w:rPr>
          <w:rFonts w:cstheme="minorHAnsi"/>
          <w:szCs w:val="22"/>
        </w:rPr>
        <w:t xml:space="preserve"> </w:t>
      </w:r>
      <w:r w:rsidRPr="003435F5">
        <w:rPr>
          <w:rFonts w:cstheme="minorHAnsi"/>
          <w:szCs w:val="22"/>
        </w:rPr>
        <w:t>les organismes de formation</w:t>
      </w:r>
      <w:r w:rsidR="00EB3837">
        <w:rPr>
          <w:rFonts w:cstheme="minorHAnsi"/>
          <w:szCs w:val="22"/>
        </w:rPr>
        <w:t xml:space="preserve"> selon un cahier des charges défini par elle,</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 xml:space="preserve">veille à </w:t>
      </w:r>
      <w:r w:rsidR="00EB3837">
        <w:rPr>
          <w:rFonts w:cstheme="minorHAnsi"/>
          <w:szCs w:val="22"/>
        </w:rPr>
        <w:t>l</w:t>
      </w:r>
      <w:r w:rsidR="00EB3837" w:rsidRPr="003435F5">
        <w:rPr>
          <w:rFonts w:cstheme="minorHAnsi"/>
          <w:szCs w:val="22"/>
        </w:rPr>
        <w:t xml:space="preserve">a </w:t>
      </w:r>
      <w:r w:rsidRPr="003435F5">
        <w:rPr>
          <w:rFonts w:cstheme="minorHAnsi"/>
          <w:szCs w:val="22"/>
        </w:rPr>
        <w:t>mise en œuvre</w:t>
      </w:r>
      <w:r w:rsidR="00EB3837">
        <w:rPr>
          <w:rFonts w:cstheme="minorHAnsi"/>
          <w:szCs w:val="22"/>
        </w:rPr>
        <w:t xml:space="preserve"> de cette politique de certification par les organismes de formation habilités</w:t>
      </w:r>
      <w:r w:rsidRPr="003435F5">
        <w:rPr>
          <w:rFonts w:cstheme="minorHAnsi"/>
          <w:szCs w:val="22"/>
        </w:rPr>
        <w:t xml:space="preserve"> et en contrôle l’exécution conf</w:t>
      </w:r>
      <w:r w:rsidR="00847D07">
        <w:rPr>
          <w:rFonts w:cstheme="minorHAnsi"/>
          <w:szCs w:val="22"/>
        </w:rPr>
        <w:t xml:space="preserve">ormément au cahier des charges </w:t>
      </w:r>
      <w:r w:rsidR="00EB3837">
        <w:rPr>
          <w:rFonts w:cstheme="minorHAnsi"/>
          <w:szCs w:val="22"/>
        </w:rPr>
        <w:t xml:space="preserve">précité </w:t>
      </w:r>
      <w:r w:rsidRPr="003435F5">
        <w:rPr>
          <w:rFonts w:cstheme="minorHAnsi"/>
          <w:szCs w:val="22"/>
        </w:rPr>
        <w:t>sur laquelle elle s’est fondée pour les habiliter ou à tout protocole spécifique</w:t>
      </w:r>
      <w:r w:rsidR="00EB3837">
        <w:rPr>
          <w:rFonts w:cstheme="minorHAnsi"/>
          <w:szCs w:val="22"/>
        </w:rPr>
        <w:t xml:space="preserve"> </w:t>
      </w:r>
      <w:r w:rsidRPr="003435F5">
        <w:rPr>
          <w:rFonts w:cstheme="minorHAnsi"/>
          <w:szCs w:val="22"/>
        </w:rPr>
        <w:t xml:space="preserve">la liant avec eux ;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entretient tout partenariat ou relation qu’elle estime nécessaire avec des organismes de formation ou opérateur</w:t>
      </w:r>
      <w:r w:rsidR="00370C2C">
        <w:rPr>
          <w:rFonts w:cstheme="minorHAnsi"/>
          <w:szCs w:val="22"/>
        </w:rPr>
        <w:t>s</w:t>
      </w:r>
      <w:r w:rsidRPr="003435F5">
        <w:rPr>
          <w:rFonts w:cstheme="minorHAnsi"/>
          <w:szCs w:val="22"/>
        </w:rPr>
        <w:t xml:space="preserve"> </w:t>
      </w:r>
      <w:r w:rsidR="00EB3837">
        <w:rPr>
          <w:rFonts w:cstheme="minorHAnsi"/>
          <w:szCs w:val="22"/>
        </w:rPr>
        <w:t xml:space="preserve">extérieurs </w:t>
      </w:r>
      <w:r w:rsidRPr="003435F5">
        <w:rPr>
          <w:rFonts w:cstheme="minorHAnsi"/>
          <w:szCs w:val="22"/>
        </w:rPr>
        <w:t xml:space="preserve">lui permettant de mettre en œuvre </w:t>
      </w:r>
      <w:r w:rsidR="00EB3837">
        <w:rPr>
          <w:rFonts w:cstheme="minorHAnsi"/>
          <w:szCs w:val="22"/>
        </w:rPr>
        <w:t>s</w:t>
      </w:r>
      <w:r w:rsidR="00EB3837" w:rsidRPr="003435F5">
        <w:rPr>
          <w:rFonts w:cstheme="minorHAnsi"/>
          <w:szCs w:val="22"/>
        </w:rPr>
        <w:t xml:space="preserve">a </w:t>
      </w:r>
      <w:r w:rsidR="00847D07">
        <w:rPr>
          <w:rFonts w:cstheme="minorHAnsi"/>
          <w:szCs w:val="22"/>
        </w:rPr>
        <w:t xml:space="preserve">politique </w:t>
      </w:r>
      <w:r w:rsidR="00EB3837">
        <w:rPr>
          <w:rFonts w:cstheme="minorHAnsi"/>
          <w:szCs w:val="22"/>
        </w:rPr>
        <w:t>de formation</w:t>
      </w:r>
      <w:r w:rsidR="00847D07">
        <w:rPr>
          <w:rFonts w:cstheme="minorHAnsi"/>
          <w:szCs w:val="22"/>
        </w:rPr>
        <w:t>;</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fixe les règles de prise en charge des actions de formation en lien avec la S</w:t>
      </w:r>
      <w:r w:rsidR="00EB3837">
        <w:rPr>
          <w:rFonts w:cstheme="minorHAnsi"/>
          <w:szCs w:val="22"/>
        </w:rPr>
        <w:t>ection Paritaire Professionnelle (S</w:t>
      </w:r>
      <w:r w:rsidRPr="003435F5">
        <w:rPr>
          <w:rFonts w:cstheme="minorHAnsi"/>
          <w:szCs w:val="22"/>
        </w:rPr>
        <w:t>PP</w:t>
      </w:r>
      <w:r w:rsidR="00EB3837">
        <w:rPr>
          <w:rFonts w:cstheme="minorHAnsi"/>
          <w:szCs w:val="22"/>
        </w:rPr>
        <w:t>)</w:t>
      </w:r>
      <w:r w:rsidRPr="003435F5">
        <w:rPr>
          <w:rFonts w:cstheme="minorHAnsi"/>
          <w:szCs w:val="22"/>
        </w:rPr>
        <w:t xml:space="preserve"> de l’OPCA désigné</w:t>
      </w:r>
      <w:r w:rsidR="00EB3837">
        <w:rPr>
          <w:rFonts w:cstheme="minorHAnsi"/>
          <w:szCs w:val="22"/>
        </w:rPr>
        <w:t xml:space="preserve"> (cf</w:t>
      </w:r>
      <w:r w:rsidR="00A133A7">
        <w:rPr>
          <w:rFonts w:cstheme="minorHAnsi"/>
          <w:szCs w:val="22"/>
        </w:rPr>
        <w:t>.</w:t>
      </w:r>
      <w:r w:rsidR="00EB3837">
        <w:rPr>
          <w:rFonts w:cstheme="minorHAnsi"/>
          <w:szCs w:val="22"/>
        </w:rPr>
        <w:t xml:space="preserve"> </w:t>
      </w:r>
      <w:r w:rsidR="00DD4CEB">
        <w:rPr>
          <w:rFonts w:cstheme="minorHAnsi"/>
          <w:szCs w:val="22"/>
        </w:rPr>
        <w:t xml:space="preserve">art. </w:t>
      </w:r>
      <w:r w:rsidR="00EB3837">
        <w:rPr>
          <w:rFonts w:cstheme="minorHAnsi"/>
          <w:szCs w:val="22"/>
        </w:rPr>
        <w:t>2.3.3)</w:t>
      </w:r>
      <w:r w:rsidRPr="003435F5">
        <w:rPr>
          <w:rFonts w:cstheme="minorHAnsi"/>
          <w:szCs w:val="22"/>
        </w:rPr>
        <w:t xml:space="preserve">, </w:t>
      </w:r>
      <w:r w:rsidR="00E67918">
        <w:rPr>
          <w:rFonts w:cstheme="minorHAnsi"/>
          <w:szCs w:val="22"/>
        </w:rPr>
        <w:t xml:space="preserve">l’en informe, </w:t>
      </w:r>
      <w:r w:rsidRPr="003435F5">
        <w:rPr>
          <w:rFonts w:cstheme="minorHAnsi"/>
          <w:szCs w:val="22"/>
        </w:rPr>
        <w:t xml:space="preserve">veille à leur mise en œuvre et en contrôle l’exécution ;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fixe les priorités d’actions collectives et individuelles à mener dans le cadre de « </w:t>
      </w:r>
      <w:r w:rsidRPr="00A133A7">
        <w:rPr>
          <w:rFonts w:cstheme="minorHAnsi"/>
          <w:b/>
          <w:i/>
          <w:color w:val="92CDDC" w:themeColor="accent5" w:themeTint="99"/>
          <w:szCs w:val="22"/>
        </w:rPr>
        <w:t>Capital Compétences – EEP Formation</w:t>
      </w:r>
      <w:r w:rsidRPr="003435F5">
        <w:rPr>
          <w:rFonts w:cstheme="minorHAnsi"/>
          <w:szCs w:val="22"/>
        </w:rPr>
        <w:t xml:space="preserve"> » </w:t>
      </w:r>
      <w:r w:rsidR="00EB3837">
        <w:rPr>
          <w:rFonts w:cstheme="minorHAnsi"/>
          <w:szCs w:val="22"/>
        </w:rPr>
        <w:t>(cf.</w:t>
      </w:r>
      <w:r w:rsidR="00DD4CEB">
        <w:rPr>
          <w:rFonts w:cstheme="minorHAnsi"/>
          <w:szCs w:val="22"/>
        </w:rPr>
        <w:t xml:space="preserve"> art. </w:t>
      </w:r>
      <w:r w:rsidR="00EB3837">
        <w:rPr>
          <w:rFonts w:cstheme="minorHAnsi"/>
          <w:szCs w:val="22"/>
        </w:rPr>
        <w:t>4.2)</w:t>
      </w:r>
      <w:r w:rsidR="00DD4CEB">
        <w:rPr>
          <w:rFonts w:cstheme="minorHAnsi"/>
          <w:szCs w:val="22"/>
        </w:rPr>
        <w:t xml:space="preserve"> </w:t>
      </w:r>
      <w:r w:rsidRPr="003435F5">
        <w:rPr>
          <w:rFonts w:cstheme="minorHAnsi"/>
          <w:szCs w:val="22"/>
        </w:rPr>
        <w:t xml:space="preserve">veille à leur mise en œuvre et en contrôle l’exécution ; </w:t>
      </w:r>
    </w:p>
    <w:p w:rsidR="003435F5" w:rsidRDefault="003435F5" w:rsidP="00023A16">
      <w:pPr>
        <w:numPr>
          <w:ilvl w:val="0"/>
          <w:numId w:val="3"/>
        </w:numPr>
        <w:spacing w:after="120" w:line="276" w:lineRule="auto"/>
        <w:ind w:left="714" w:hanging="357"/>
        <w:rPr>
          <w:rFonts w:cstheme="minorHAnsi"/>
          <w:szCs w:val="22"/>
        </w:rPr>
      </w:pPr>
      <w:r w:rsidRPr="003435F5">
        <w:rPr>
          <w:rFonts w:cstheme="minorHAnsi"/>
          <w:szCs w:val="22"/>
        </w:rPr>
        <w:t>évalue</w:t>
      </w:r>
      <w:r w:rsidR="00B80E77">
        <w:rPr>
          <w:rFonts w:cstheme="minorHAnsi"/>
          <w:szCs w:val="22"/>
        </w:rPr>
        <w:t>,</w:t>
      </w:r>
      <w:r w:rsidRPr="003435F5">
        <w:rPr>
          <w:rFonts w:cstheme="minorHAnsi"/>
          <w:szCs w:val="22"/>
        </w:rPr>
        <w:t xml:space="preserve"> grâce au support du département dédié de l’OPCA désigné</w:t>
      </w:r>
      <w:r w:rsidR="00B80E77">
        <w:rPr>
          <w:rFonts w:cstheme="minorHAnsi"/>
          <w:szCs w:val="22"/>
        </w:rPr>
        <w:t>,</w:t>
      </w:r>
      <w:r w:rsidRPr="003435F5">
        <w:rPr>
          <w:rFonts w:cstheme="minorHAnsi"/>
          <w:szCs w:val="22"/>
        </w:rPr>
        <w:t xml:space="preserve"> les actions de formation menées dans l’Interbranches et contribue à mettre en place une démarche </w:t>
      </w:r>
      <w:r w:rsidR="00B80E77">
        <w:rPr>
          <w:rFonts w:cstheme="minorHAnsi"/>
          <w:szCs w:val="22"/>
        </w:rPr>
        <w:t>Q</w:t>
      </w:r>
      <w:r w:rsidR="00B80E77" w:rsidRPr="003435F5">
        <w:rPr>
          <w:rFonts w:cstheme="minorHAnsi"/>
          <w:szCs w:val="22"/>
        </w:rPr>
        <w:t xml:space="preserve">ualité </w:t>
      </w:r>
      <w:r w:rsidRPr="003435F5">
        <w:rPr>
          <w:rFonts w:cstheme="minorHAnsi"/>
          <w:szCs w:val="22"/>
        </w:rPr>
        <w:t xml:space="preserve">de ces formations financées par les fonds visés à l’article </w:t>
      </w:r>
      <w:r w:rsidR="00DD64FA">
        <w:rPr>
          <w:rFonts w:cstheme="minorHAnsi"/>
          <w:szCs w:val="22"/>
        </w:rPr>
        <w:t>4</w:t>
      </w:r>
      <w:r w:rsidR="00015937">
        <w:rPr>
          <w:rFonts w:cstheme="minorHAnsi"/>
          <w:szCs w:val="22"/>
        </w:rPr>
        <w:t>.1</w:t>
      </w:r>
      <w:r w:rsidRPr="003435F5">
        <w:rPr>
          <w:rFonts w:cstheme="minorHAnsi"/>
          <w:szCs w:val="22"/>
        </w:rPr>
        <w:t>.</w:t>
      </w:r>
    </w:p>
    <w:p w:rsidR="003435F5" w:rsidRPr="00A46AC6" w:rsidRDefault="0093773D" w:rsidP="00C17F13">
      <w:pPr>
        <w:pStyle w:val="Style9"/>
      </w:pPr>
      <w:bookmarkStart w:id="8" w:name="_Toc432788901"/>
      <w:r>
        <w:t>2.</w:t>
      </w:r>
      <w:r w:rsidR="00050928">
        <w:t>2</w:t>
      </w:r>
      <w:r>
        <w:t xml:space="preserve"> </w:t>
      </w:r>
      <w:r w:rsidR="007020C6">
        <w:t>Observatoire P</w:t>
      </w:r>
      <w:r w:rsidR="003435F5" w:rsidRPr="00A46AC6">
        <w:t xml:space="preserve">rospectif des </w:t>
      </w:r>
      <w:r w:rsidR="007020C6">
        <w:t>M</w:t>
      </w:r>
      <w:r w:rsidR="003435F5" w:rsidRPr="00A46AC6">
        <w:t xml:space="preserve">étiers, des </w:t>
      </w:r>
      <w:r w:rsidR="007020C6">
        <w:t>Q</w:t>
      </w:r>
      <w:r w:rsidR="003435F5" w:rsidRPr="00A46AC6">
        <w:t xml:space="preserve">ualifications et des </w:t>
      </w:r>
      <w:r w:rsidR="007020C6">
        <w:t>C</w:t>
      </w:r>
      <w:r w:rsidR="003435F5" w:rsidRPr="00A46AC6">
        <w:t>ompétences (</w:t>
      </w:r>
      <w:r w:rsidR="003435F5" w:rsidRPr="007020C6">
        <w:t>Observatoire EEP Formation</w:t>
      </w:r>
      <w:r w:rsidR="003435F5" w:rsidRPr="00A46AC6">
        <w:t>)</w:t>
      </w:r>
      <w:bookmarkEnd w:id="8"/>
    </w:p>
    <w:p w:rsidR="003435F5" w:rsidRDefault="003435F5" w:rsidP="003435F5">
      <w:pPr>
        <w:spacing w:after="0"/>
        <w:rPr>
          <w:rFonts w:cstheme="minorHAnsi"/>
          <w:szCs w:val="22"/>
        </w:rPr>
      </w:pPr>
      <w:r w:rsidRPr="003435F5">
        <w:rPr>
          <w:rFonts w:cstheme="minorHAnsi"/>
          <w:szCs w:val="22"/>
        </w:rPr>
        <w:t>Afin d’obtenir une meilleure visibilité sur la politique de l’emploi et de mieux appréhender l’évolution des métiers exercés dans les établissements</w:t>
      </w:r>
      <w:r w:rsidR="00B80E77">
        <w:rPr>
          <w:rFonts w:cstheme="minorHAnsi"/>
          <w:szCs w:val="22"/>
        </w:rPr>
        <w:t xml:space="preserve"> d’enseignement privés</w:t>
      </w:r>
      <w:r w:rsidRPr="003435F5">
        <w:rPr>
          <w:rFonts w:cstheme="minorHAnsi"/>
          <w:szCs w:val="22"/>
        </w:rPr>
        <w:t xml:space="preserve">, un Observatoire Prospectif des Métiers et des Qualifications </w:t>
      </w:r>
      <w:r w:rsidR="00B80E77">
        <w:rPr>
          <w:rFonts w:cstheme="minorHAnsi"/>
          <w:szCs w:val="22"/>
        </w:rPr>
        <w:t xml:space="preserve">(OPMQ) </w:t>
      </w:r>
      <w:r w:rsidRPr="003435F5">
        <w:rPr>
          <w:rFonts w:cstheme="minorHAnsi"/>
          <w:szCs w:val="22"/>
        </w:rPr>
        <w:t xml:space="preserve">est créé au sein de la </w:t>
      </w:r>
      <w:r w:rsidRPr="003435F5">
        <w:rPr>
          <w:rFonts w:cstheme="minorHAnsi"/>
          <w:i/>
          <w:szCs w:val="22"/>
        </w:rPr>
        <w:t>CPN EEP Formation</w:t>
      </w:r>
      <w:r w:rsidRPr="003435F5">
        <w:rPr>
          <w:rFonts w:cstheme="minorHAnsi"/>
          <w:szCs w:val="22"/>
        </w:rPr>
        <w:t>.</w:t>
      </w:r>
    </w:p>
    <w:p w:rsidR="00DF1D66" w:rsidRPr="003435F5" w:rsidRDefault="00DF1D66" w:rsidP="003435F5">
      <w:pPr>
        <w:spacing w:after="0"/>
        <w:rPr>
          <w:rFonts w:cstheme="minorHAnsi"/>
          <w:szCs w:val="22"/>
        </w:rPr>
      </w:pPr>
    </w:p>
    <w:p w:rsidR="003435F5" w:rsidRPr="003435F5" w:rsidRDefault="003435F5" w:rsidP="003435F5">
      <w:pPr>
        <w:spacing w:after="0"/>
        <w:rPr>
          <w:rFonts w:cstheme="minorHAnsi"/>
          <w:szCs w:val="22"/>
        </w:rPr>
      </w:pPr>
      <w:r w:rsidRPr="003435F5">
        <w:rPr>
          <w:rFonts w:cstheme="minorHAnsi"/>
          <w:szCs w:val="22"/>
        </w:rPr>
        <w:t xml:space="preserve">Il porte le nom </w:t>
      </w:r>
      <w:r w:rsidRPr="003435F5">
        <w:rPr>
          <w:rFonts w:cstheme="minorHAnsi"/>
          <w:i/>
          <w:szCs w:val="22"/>
        </w:rPr>
        <w:t>d’Observatoire EEP Formation</w:t>
      </w:r>
      <w:r w:rsidR="00436B78">
        <w:rPr>
          <w:rFonts w:cstheme="minorHAnsi"/>
          <w:i/>
          <w:szCs w:val="22"/>
        </w:rPr>
        <w:t>.</w:t>
      </w:r>
    </w:p>
    <w:p w:rsidR="003435F5" w:rsidRPr="003435F5" w:rsidRDefault="00006DDE" w:rsidP="00C17F13">
      <w:pPr>
        <w:pStyle w:val="Titre1"/>
      </w:pPr>
      <w:bookmarkStart w:id="9" w:name="_Toc432788902"/>
      <w:r>
        <w:t>2.1</w:t>
      </w:r>
      <w:r w:rsidR="0093773D">
        <w:t>.1</w:t>
      </w:r>
      <w:r>
        <w:t xml:space="preserve"> </w:t>
      </w:r>
      <w:r w:rsidR="003435F5" w:rsidRPr="003435F5">
        <w:t>Composition</w:t>
      </w:r>
      <w:bookmarkEnd w:id="9"/>
    </w:p>
    <w:p w:rsidR="003435F5" w:rsidRDefault="003435F5" w:rsidP="003435F5">
      <w:pPr>
        <w:spacing w:after="0"/>
        <w:rPr>
          <w:rFonts w:cstheme="minorHAnsi"/>
          <w:szCs w:val="22"/>
        </w:rPr>
      </w:pPr>
      <w:r w:rsidRPr="003435F5">
        <w:rPr>
          <w:rFonts w:cstheme="minorHAnsi"/>
          <w:szCs w:val="22"/>
        </w:rPr>
        <w:t>L’</w:t>
      </w:r>
      <w:r w:rsidR="00B42C94">
        <w:rPr>
          <w:rFonts w:cstheme="minorHAnsi"/>
          <w:i/>
          <w:szCs w:val="22"/>
        </w:rPr>
        <w:t>O</w:t>
      </w:r>
      <w:r w:rsidRPr="00B42C94">
        <w:rPr>
          <w:rFonts w:cstheme="minorHAnsi"/>
          <w:i/>
          <w:szCs w:val="22"/>
        </w:rPr>
        <w:t xml:space="preserve">bservatoire EEP Formation </w:t>
      </w:r>
      <w:r w:rsidRPr="003435F5">
        <w:rPr>
          <w:rFonts w:cstheme="minorHAnsi"/>
          <w:szCs w:val="22"/>
        </w:rPr>
        <w:t xml:space="preserve">est composé des organisations </w:t>
      </w:r>
      <w:r w:rsidR="00E67918">
        <w:rPr>
          <w:rFonts w:cstheme="minorHAnsi"/>
          <w:szCs w:val="22"/>
        </w:rPr>
        <w:t xml:space="preserve">représentatives </w:t>
      </w:r>
      <w:r w:rsidRPr="003435F5">
        <w:rPr>
          <w:rFonts w:cstheme="minorHAnsi"/>
          <w:szCs w:val="22"/>
        </w:rPr>
        <w:t>signataires ou ayant adhéré au présent accord.</w:t>
      </w:r>
    </w:p>
    <w:p w:rsidR="00DF1D66" w:rsidRPr="003435F5" w:rsidRDefault="00DF1D66" w:rsidP="003435F5">
      <w:pPr>
        <w:spacing w:after="0"/>
        <w:rPr>
          <w:rFonts w:cstheme="minorHAnsi"/>
          <w:szCs w:val="22"/>
        </w:rPr>
      </w:pPr>
    </w:p>
    <w:p w:rsidR="003435F5" w:rsidRDefault="003435F5" w:rsidP="003435F5">
      <w:pPr>
        <w:spacing w:after="0"/>
        <w:rPr>
          <w:rFonts w:cstheme="minorHAnsi"/>
          <w:szCs w:val="22"/>
        </w:rPr>
      </w:pPr>
      <w:r w:rsidRPr="003435F5">
        <w:rPr>
          <w:rFonts w:cstheme="minorHAnsi"/>
          <w:szCs w:val="22"/>
        </w:rPr>
        <w:t xml:space="preserve">Chaque organisation syndicale </w:t>
      </w:r>
      <w:r w:rsidR="00436B78">
        <w:rPr>
          <w:rFonts w:cstheme="minorHAnsi"/>
          <w:szCs w:val="22"/>
        </w:rPr>
        <w:t xml:space="preserve">représentative signataire </w:t>
      </w:r>
      <w:r w:rsidRPr="003435F5">
        <w:rPr>
          <w:rFonts w:cstheme="minorHAnsi"/>
          <w:szCs w:val="22"/>
        </w:rPr>
        <w:t xml:space="preserve">dispose d’un siège. </w:t>
      </w:r>
    </w:p>
    <w:p w:rsidR="003435F5" w:rsidRDefault="003435F5" w:rsidP="003435F5">
      <w:pPr>
        <w:spacing w:after="0"/>
        <w:rPr>
          <w:rFonts w:cstheme="minorHAnsi"/>
          <w:szCs w:val="22"/>
        </w:rPr>
      </w:pPr>
      <w:r w:rsidRPr="003435F5">
        <w:rPr>
          <w:rFonts w:cstheme="minorHAnsi"/>
          <w:szCs w:val="22"/>
        </w:rPr>
        <w:t>Le Collège des employeurs dispose d’un nombre de sièges égal au nombre total des sièges dont disposent les organisations syndicales composant le Collège des salariés.</w:t>
      </w:r>
    </w:p>
    <w:p w:rsidR="003435F5" w:rsidRPr="006440AB" w:rsidRDefault="00006DDE" w:rsidP="00C17F13">
      <w:pPr>
        <w:pStyle w:val="Titre1"/>
        <w:rPr>
          <w:rFonts w:cstheme="minorHAnsi"/>
          <w:szCs w:val="22"/>
        </w:rPr>
      </w:pPr>
      <w:bookmarkStart w:id="10" w:name="_Toc432788903"/>
      <w:r>
        <w:t>2.2</w:t>
      </w:r>
      <w:r w:rsidR="0093773D">
        <w:t>.2</w:t>
      </w:r>
      <w:r>
        <w:t xml:space="preserve"> </w:t>
      </w:r>
      <w:r w:rsidR="003435F5" w:rsidRPr="003435F5">
        <w:t>Missions de l’</w:t>
      </w:r>
      <w:r w:rsidR="003435F5" w:rsidRPr="00B42C94">
        <w:t>Observatoire EEP Formation</w:t>
      </w:r>
      <w:bookmarkEnd w:id="10"/>
    </w:p>
    <w:p w:rsidR="003435F5" w:rsidRDefault="003435F5" w:rsidP="003435F5">
      <w:pPr>
        <w:spacing w:after="0"/>
        <w:rPr>
          <w:rFonts w:cstheme="minorHAnsi"/>
          <w:szCs w:val="22"/>
        </w:rPr>
      </w:pPr>
      <w:r w:rsidRPr="003435F5">
        <w:rPr>
          <w:rFonts w:cstheme="minorHAnsi"/>
          <w:szCs w:val="22"/>
        </w:rPr>
        <w:t>Instance de concertation, l’</w:t>
      </w:r>
      <w:r w:rsidRPr="00B42C94">
        <w:rPr>
          <w:rFonts w:cstheme="minorHAnsi"/>
          <w:i/>
          <w:szCs w:val="22"/>
        </w:rPr>
        <w:t xml:space="preserve">Observatoire EEP formation </w:t>
      </w:r>
      <w:r w:rsidRPr="003435F5">
        <w:rPr>
          <w:rFonts w:cstheme="minorHAnsi"/>
          <w:szCs w:val="22"/>
        </w:rPr>
        <w:t>est un lieu d’étude et d’information sur l’évolution des métiers dans la branche, sur la situation de l’emploi et son évolution.</w:t>
      </w:r>
    </w:p>
    <w:p w:rsidR="00023A16" w:rsidRDefault="00023A16" w:rsidP="003435F5">
      <w:pPr>
        <w:spacing w:after="0"/>
        <w:rPr>
          <w:rFonts w:cstheme="minorHAnsi"/>
          <w:szCs w:val="22"/>
        </w:rPr>
      </w:pPr>
    </w:p>
    <w:p w:rsidR="003435F5" w:rsidRDefault="003435F5" w:rsidP="003435F5">
      <w:pPr>
        <w:spacing w:after="0"/>
        <w:rPr>
          <w:rFonts w:cstheme="minorHAnsi"/>
          <w:i/>
          <w:szCs w:val="22"/>
        </w:rPr>
      </w:pPr>
      <w:r w:rsidRPr="003435F5">
        <w:rPr>
          <w:rFonts w:cstheme="minorHAnsi"/>
          <w:szCs w:val="22"/>
        </w:rPr>
        <w:t xml:space="preserve">Dans le cadre des orientations déterminées par la </w:t>
      </w:r>
      <w:r w:rsidRPr="003435F5">
        <w:rPr>
          <w:rFonts w:cstheme="minorHAnsi"/>
          <w:i/>
          <w:szCs w:val="22"/>
        </w:rPr>
        <w:t>CPN EEP Formation</w:t>
      </w:r>
      <w:r w:rsidR="00B80E77">
        <w:rPr>
          <w:rFonts w:cstheme="minorHAnsi"/>
          <w:i/>
          <w:szCs w:val="22"/>
        </w:rPr>
        <w:t>, l’Observatoire</w:t>
      </w:r>
      <w:r w:rsidR="00D20F24" w:rsidRPr="00D20F24">
        <w:rPr>
          <w:rFonts w:cstheme="minorHAnsi"/>
          <w:i/>
          <w:szCs w:val="22"/>
        </w:rPr>
        <w:t xml:space="preserve"> </w:t>
      </w:r>
      <w:r w:rsidR="00D20F24" w:rsidRPr="003435F5">
        <w:rPr>
          <w:rFonts w:cstheme="minorHAnsi"/>
          <w:i/>
          <w:szCs w:val="22"/>
        </w:rPr>
        <w:t>EEP Formation</w:t>
      </w:r>
      <w:r w:rsidRPr="003435F5">
        <w:rPr>
          <w:rFonts w:cstheme="minorHAnsi"/>
          <w:i/>
          <w:szCs w:val="22"/>
        </w:rPr>
        <w:t>:</w:t>
      </w:r>
    </w:p>
    <w:p w:rsidR="00B80E77" w:rsidRDefault="003435F5" w:rsidP="00023A16">
      <w:pPr>
        <w:numPr>
          <w:ilvl w:val="0"/>
          <w:numId w:val="3"/>
        </w:numPr>
        <w:spacing w:before="200" w:after="120" w:line="276" w:lineRule="auto"/>
        <w:ind w:left="714" w:hanging="357"/>
        <w:rPr>
          <w:rFonts w:cstheme="minorHAnsi"/>
          <w:szCs w:val="22"/>
        </w:rPr>
      </w:pPr>
      <w:r w:rsidRPr="003435F5">
        <w:rPr>
          <w:rFonts w:cstheme="minorHAnsi"/>
          <w:szCs w:val="22"/>
        </w:rPr>
        <w:t>identifie les métiers et compétences clés</w:t>
      </w:r>
      <w:r w:rsidR="00B80E77">
        <w:rPr>
          <w:rFonts w:cstheme="minorHAnsi"/>
          <w:szCs w:val="22"/>
        </w:rPr>
        <w:t> ;</w:t>
      </w:r>
    </w:p>
    <w:p w:rsidR="003435F5" w:rsidRDefault="003435F5" w:rsidP="00023A16">
      <w:pPr>
        <w:numPr>
          <w:ilvl w:val="0"/>
          <w:numId w:val="3"/>
        </w:numPr>
        <w:spacing w:before="200" w:after="120" w:line="276" w:lineRule="auto"/>
        <w:ind w:left="714" w:hanging="357"/>
        <w:rPr>
          <w:rFonts w:cstheme="minorHAnsi"/>
          <w:szCs w:val="22"/>
        </w:rPr>
      </w:pPr>
      <w:r w:rsidRPr="003435F5">
        <w:rPr>
          <w:rFonts w:cstheme="minorHAnsi"/>
          <w:szCs w:val="22"/>
        </w:rPr>
        <w:t xml:space="preserve"> dresse un portrait </w:t>
      </w:r>
      <w:r w:rsidR="00B80E77">
        <w:rPr>
          <w:rFonts w:cstheme="minorHAnsi"/>
          <w:szCs w:val="22"/>
        </w:rPr>
        <w:t xml:space="preserve">statistique, tant </w:t>
      </w:r>
      <w:r w:rsidR="00B42C94" w:rsidRPr="003435F5">
        <w:rPr>
          <w:rFonts w:cstheme="minorHAnsi"/>
          <w:szCs w:val="22"/>
        </w:rPr>
        <w:t xml:space="preserve">quantitatif </w:t>
      </w:r>
      <w:r w:rsidR="00B80E77">
        <w:rPr>
          <w:rFonts w:cstheme="minorHAnsi"/>
          <w:szCs w:val="22"/>
        </w:rPr>
        <w:t>que</w:t>
      </w:r>
      <w:r w:rsidR="00B80E77" w:rsidRPr="003435F5">
        <w:rPr>
          <w:rFonts w:cstheme="minorHAnsi"/>
          <w:szCs w:val="22"/>
        </w:rPr>
        <w:t xml:space="preserve"> </w:t>
      </w:r>
      <w:r w:rsidR="00B42C94" w:rsidRPr="003435F5">
        <w:rPr>
          <w:rFonts w:cstheme="minorHAnsi"/>
          <w:szCs w:val="22"/>
        </w:rPr>
        <w:t xml:space="preserve">qualitatif </w:t>
      </w:r>
      <w:r w:rsidRPr="003435F5">
        <w:rPr>
          <w:rFonts w:cstheme="minorHAnsi"/>
          <w:szCs w:val="22"/>
        </w:rPr>
        <w:t>des emplois et qualifications</w:t>
      </w:r>
      <w:r w:rsidR="00DF1D66">
        <w:rPr>
          <w:rFonts w:cstheme="minorHAnsi"/>
          <w:szCs w:val="22"/>
        </w:rPr>
        <w:t> ;</w:t>
      </w:r>
    </w:p>
    <w:p w:rsidR="003435F5" w:rsidRPr="003435F5" w:rsidRDefault="003435F5" w:rsidP="00023A16">
      <w:pPr>
        <w:numPr>
          <w:ilvl w:val="0"/>
          <w:numId w:val="3"/>
        </w:numPr>
        <w:spacing w:after="120" w:line="276" w:lineRule="auto"/>
        <w:rPr>
          <w:rFonts w:cstheme="minorHAnsi"/>
          <w:szCs w:val="22"/>
        </w:rPr>
      </w:pPr>
      <w:r w:rsidRPr="003435F5">
        <w:rPr>
          <w:rFonts w:cstheme="minorHAnsi"/>
          <w:szCs w:val="22"/>
        </w:rPr>
        <w:t xml:space="preserve">commande toute étude ou analyse permettant : </w:t>
      </w:r>
    </w:p>
    <w:p w:rsidR="003435F5" w:rsidRPr="003435F5" w:rsidRDefault="003435F5" w:rsidP="00023A16">
      <w:pPr>
        <w:numPr>
          <w:ilvl w:val="1"/>
          <w:numId w:val="4"/>
        </w:numPr>
        <w:spacing w:after="120" w:line="276" w:lineRule="auto"/>
        <w:rPr>
          <w:rFonts w:cstheme="minorHAnsi"/>
          <w:szCs w:val="22"/>
        </w:rPr>
      </w:pPr>
      <w:r w:rsidRPr="003435F5">
        <w:rPr>
          <w:rFonts w:cstheme="minorHAnsi"/>
          <w:szCs w:val="22"/>
        </w:rPr>
        <w:t xml:space="preserve">l’appréhension de l’évolution des métiers et de l’employabilité des salariés ; </w:t>
      </w:r>
    </w:p>
    <w:p w:rsidR="003435F5" w:rsidRPr="003435F5" w:rsidRDefault="003435F5" w:rsidP="00023A16">
      <w:pPr>
        <w:numPr>
          <w:ilvl w:val="1"/>
          <w:numId w:val="4"/>
        </w:numPr>
        <w:spacing w:after="120" w:line="276" w:lineRule="auto"/>
        <w:rPr>
          <w:rFonts w:cstheme="minorHAnsi"/>
          <w:szCs w:val="22"/>
        </w:rPr>
      </w:pPr>
      <w:r w:rsidRPr="003435F5">
        <w:rPr>
          <w:rFonts w:cstheme="minorHAnsi"/>
          <w:szCs w:val="22"/>
        </w:rPr>
        <w:t>la visibilité des besoins à court et long terme</w:t>
      </w:r>
      <w:r w:rsidR="00B80E77">
        <w:rPr>
          <w:rFonts w:cstheme="minorHAnsi"/>
          <w:szCs w:val="22"/>
        </w:rPr>
        <w:t>s</w:t>
      </w:r>
      <w:r w:rsidRPr="003435F5">
        <w:rPr>
          <w:rFonts w:cstheme="minorHAnsi"/>
          <w:szCs w:val="22"/>
        </w:rPr>
        <w:t xml:space="preserve"> des salariés et des établissements de </w:t>
      </w:r>
      <w:r w:rsidR="00B42C94">
        <w:rPr>
          <w:rFonts w:cstheme="minorHAnsi"/>
          <w:szCs w:val="22"/>
        </w:rPr>
        <w:t>l’Interbranches ;</w:t>
      </w:r>
    </w:p>
    <w:p w:rsidR="00AC2180" w:rsidRDefault="003435F5" w:rsidP="00023A16">
      <w:pPr>
        <w:numPr>
          <w:ilvl w:val="1"/>
          <w:numId w:val="4"/>
        </w:numPr>
        <w:spacing w:after="120" w:line="276" w:lineRule="auto"/>
        <w:rPr>
          <w:rFonts w:cstheme="minorHAnsi"/>
          <w:szCs w:val="22"/>
        </w:rPr>
      </w:pPr>
      <w:r w:rsidRPr="003435F5">
        <w:rPr>
          <w:rFonts w:cstheme="minorHAnsi"/>
          <w:szCs w:val="22"/>
        </w:rPr>
        <w:t>la mise en adéquation entre formation et emploi.</w:t>
      </w:r>
    </w:p>
    <w:p w:rsidR="003435F5" w:rsidRPr="00AC2180" w:rsidRDefault="0081629C" w:rsidP="00023A16">
      <w:pPr>
        <w:pStyle w:val="Paragraphedeliste"/>
        <w:numPr>
          <w:ilvl w:val="0"/>
          <w:numId w:val="4"/>
        </w:numPr>
        <w:spacing w:after="120" w:line="276" w:lineRule="auto"/>
        <w:contextualSpacing w:val="0"/>
        <w:rPr>
          <w:rFonts w:cstheme="minorHAnsi"/>
          <w:szCs w:val="22"/>
        </w:rPr>
      </w:pPr>
      <w:r>
        <w:rPr>
          <w:rFonts w:cstheme="minorHAnsi"/>
          <w:szCs w:val="22"/>
        </w:rPr>
        <w:t>m</w:t>
      </w:r>
      <w:r w:rsidR="00B80E77">
        <w:rPr>
          <w:rFonts w:cstheme="minorHAnsi"/>
          <w:szCs w:val="22"/>
        </w:rPr>
        <w:t xml:space="preserve">ène, </w:t>
      </w:r>
      <w:r w:rsidR="00AC2180">
        <w:rPr>
          <w:rFonts w:cstheme="minorHAnsi"/>
          <w:szCs w:val="22"/>
        </w:rPr>
        <w:t>à</w:t>
      </w:r>
      <w:r w:rsidR="003435F5" w:rsidRPr="00AC2180">
        <w:rPr>
          <w:rFonts w:cstheme="minorHAnsi"/>
          <w:szCs w:val="22"/>
        </w:rPr>
        <w:t xml:space="preserve"> partir d’un point de situation objectif (cartographie de la problématique) reposant</w:t>
      </w:r>
      <w:r w:rsidR="00B80E77">
        <w:rPr>
          <w:rFonts w:cstheme="minorHAnsi"/>
          <w:szCs w:val="22"/>
        </w:rPr>
        <w:t>, sans la mesure du possible</w:t>
      </w:r>
      <w:r w:rsidR="003435F5" w:rsidRPr="00AC2180">
        <w:rPr>
          <w:rFonts w:cstheme="minorHAnsi"/>
          <w:szCs w:val="22"/>
        </w:rPr>
        <w:t xml:space="preserve"> sur des chiffres et éléments objectivables, </w:t>
      </w:r>
      <w:r w:rsidR="00AC2180">
        <w:rPr>
          <w:rFonts w:cstheme="minorHAnsi"/>
          <w:szCs w:val="22"/>
        </w:rPr>
        <w:t xml:space="preserve">des analyses, </w:t>
      </w:r>
      <w:r w:rsidR="003435F5" w:rsidRPr="00AC2180">
        <w:rPr>
          <w:rFonts w:cstheme="minorHAnsi"/>
          <w:szCs w:val="22"/>
        </w:rPr>
        <w:t xml:space="preserve">délivre des préconisations, propose des orientations à la </w:t>
      </w:r>
      <w:r w:rsidR="003435F5" w:rsidRPr="00AC2180">
        <w:rPr>
          <w:rFonts w:cstheme="minorHAnsi"/>
          <w:i/>
          <w:szCs w:val="22"/>
        </w:rPr>
        <w:t>CPN</w:t>
      </w:r>
      <w:r w:rsidR="00C60A55" w:rsidRPr="00AC2180">
        <w:rPr>
          <w:rFonts w:cstheme="minorHAnsi"/>
          <w:i/>
          <w:szCs w:val="22"/>
        </w:rPr>
        <w:t xml:space="preserve"> EEP Formation</w:t>
      </w:r>
      <w:r w:rsidR="00ED28C1" w:rsidRPr="00AC2180">
        <w:rPr>
          <w:rFonts w:cstheme="minorHAnsi"/>
          <w:szCs w:val="22"/>
        </w:rPr>
        <w:t xml:space="preserve">, </w:t>
      </w:r>
      <w:r w:rsidR="00C60A55" w:rsidRPr="00AC2180">
        <w:rPr>
          <w:rFonts w:cstheme="minorHAnsi"/>
          <w:szCs w:val="22"/>
        </w:rPr>
        <w:t>l’</w:t>
      </w:r>
      <w:r w:rsidR="003435F5" w:rsidRPr="00AC2180">
        <w:rPr>
          <w:rFonts w:cstheme="minorHAnsi"/>
          <w:szCs w:val="22"/>
        </w:rPr>
        <w:t xml:space="preserve">informe </w:t>
      </w:r>
      <w:r w:rsidR="00ED28C1" w:rsidRPr="00AC2180">
        <w:rPr>
          <w:rFonts w:cstheme="minorHAnsi"/>
          <w:szCs w:val="22"/>
        </w:rPr>
        <w:t xml:space="preserve">et </w:t>
      </w:r>
      <w:r w:rsidR="00C60A55" w:rsidRPr="00AC2180">
        <w:rPr>
          <w:rFonts w:cstheme="minorHAnsi"/>
          <w:szCs w:val="22"/>
        </w:rPr>
        <w:t>l’</w:t>
      </w:r>
      <w:r w:rsidR="003435F5" w:rsidRPr="00AC2180">
        <w:rPr>
          <w:rFonts w:cstheme="minorHAnsi"/>
          <w:szCs w:val="22"/>
        </w:rPr>
        <w:t>alerte de tout élément</w:t>
      </w:r>
      <w:r w:rsidR="00AC2180">
        <w:rPr>
          <w:rFonts w:cstheme="minorHAnsi"/>
          <w:szCs w:val="22"/>
        </w:rPr>
        <w:t xml:space="preserve"> </w:t>
      </w:r>
      <w:r w:rsidR="003435F5" w:rsidRPr="00AC2180">
        <w:rPr>
          <w:rFonts w:cstheme="minorHAnsi"/>
          <w:szCs w:val="22"/>
        </w:rPr>
        <w:t xml:space="preserve">permettant </w:t>
      </w:r>
      <w:r w:rsidR="00B80E77">
        <w:rPr>
          <w:rFonts w:cstheme="minorHAnsi"/>
          <w:szCs w:val="22"/>
        </w:rPr>
        <w:t xml:space="preserve">à ses membres </w:t>
      </w:r>
      <w:r w:rsidR="003435F5" w:rsidRPr="00AC2180">
        <w:rPr>
          <w:rFonts w:cstheme="minorHAnsi"/>
          <w:szCs w:val="22"/>
        </w:rPr>
        <w:t xml:space="preserve">de </w:t>
      </w:r>
      <w:r w:rsidR="00C60A55" w:rsidRPr="00AC2180">
        <w:rPr>
          <w:rFonts w:cstheme="minorHAnsi"/>
          <w:szCs w:val="22"/>
        </w:rPr>
        <w:t xml:space="preserve">redéfinir leur </w:t>
      </w:r>
      <w:r w:rsidR="003435F5" w:rsidRPr="00AC2180">
        <w:rPr>
          <w:rFonts w:cstheme="minorHAnsi"/>
          <w:szCs w:val="22"/>
        </w:rPr>
        <w:t>politique.</w:t>
      </w:r>
      <w:r w:rsidR="00AC2180">
        <w:rPr>
          <w:rFonts w:cstheme="minorHAnsi"/>
          <w:szCs w:val="22"/>
        </w:rPr>
        <w:t xml:space="preserve"> </w:t>
      </w:r>
    </w:p>
    <w:p w:rsidR="003435F5" w:rsidRPr="003435F5" w:rsidRDefault="00006DDE" w:rsidP="00C17F13">
      <w:pPr>
        <w:pStyle w:val="Titre1"/>
      </w:pPr>
      <w:bookmarkStart w:id="11" w:name="_Toc432788904"/>
      <w:r>
        <w:t>2.</w:t>
      </w:r>
      <w:r w:rsidR="0093773D">
        <w:t>2.</w:t>
      </w:r>
      <w:r>
        <w:t xml:space="preserve">3 </w:t>
      </w:r>
      <w:r w:rsidR="003435F5" w:rsidRPr="003435F5">
        <w:t>Fonctionnement</w:t>
      </w:r>
      <w:bookmarkEnd w:id="11"/>
    </w:p>
    <w:p w:rsidR="00B80E77" w:rsidRDefault="003435F5" w:rsidP="00B42C94">
      <w:pPr>
        <w:spacing w:after="0"/>
        <w:rPr>
          <w:rFonts w:cstheme="minorHAnsi"/>
          <w:szCs w:val="22"/>
        </w:rPr>
      </w:pPr>
      <w:r w:rsidRPr="003435F5">
        <w:rPr>
          <w:rFonts w:cstheme="minorHAnsi"/>
          <w:szCs w:val="22"/>
        </w:rPr>
        <w:t xml:space="preserve">La </w:t>
      </w:r>
      <w:r w:rsidRPr="003435F5">
        <w:rPr>
          <w:rFonts w:cstheme="minorHAnsi"/>
          <w:i/>
          <w:szCs w:val="22"/>
        </w:rPr>
        <w:t>CPN EEP Formation</w:t>
      </w:r>
      <w:r w:rsidRPr="003435F5">
        <w:rPr>
          <w:rFonts w:cstheme="minorHAnsi"/>
          <w:szCs w:val="22"/>
        </w:rPr>
        <w:t xml:space="preserve"> précise</w:t>
      </w:r>
      <w:r w:rsidR="00AC2180">
        <w:rPr>
          <w:rFonts w:cstheme="minorHAnsi"/>
          <w:szCs w:val="22"/>
        </w:rPr>
        <w:t>, dans son règlement intérieur,</w:t>
      </w:r>
      <w:r w:rsidRPr="003435F5">
        <w:rPr>
          <w:rFonts w:cstheme="minorHAnsi"/>
          <w:szCs w:val="22"/>
        </w:rPr>
        <w:t xml:space="preserve"> les conditions de fonctionnement de l’</w:t>
      </w:r>
      <w:r w:rsidRPr="00B42C94">
        <w:rPr>
          <w:rFonts w:cstheme="minorHAnsi"/>
          <w:i/>
          <w:szCs w:val="22"/>
        </w:rPr>
        <w:t>Observatoire EEP Formation</w:t>
      </w:r>
      <w:r w:rsidRPr="003435F5">
        <w:rPr>
          <w:rFonts w:cstheme="minorHAnsi"/>
          <w:szCs w:val="22"/>
        </w:rPr>
        <w:t>.</w:t>
      </w:r>
      <w:r w:rsidR="00445DE5">
        <w:rPr>
          <w:rFonts w:cstheme="minorHAnsi"/>
          <w:szCs w:val="22"/>
        </w:rPr>
        <w:t xml:space="preserve"> </w:t>
      </w:r>
    </w:p>
    <w:p w:rsidR="00D20F24" w:rsidRPr="003435F5" w:rsidRDefault="0081629C" w:rsidP="00D20F24">
      <w:pPr>
        <w:spacing w:after="0"/>
        <w:rPr>
          <w:rFonts w:cstheme="minorHAnsi"/>
          <w:szCs w:val="22"/>
        </w:rPr>
      </w:pPr>
      <w:r>
        <w:rPr>
          <w:rFonts w:cstheme="minorHAnsi"/>
          <w:szCs w:val="22"/>
        </w:rPr>
        <w:t xml:space="preserve">En application de l’accord visé </w:t>
      </w:r>
      <w:r w:rsidR="00DD4CEB">
        <w:rPr>
          <w:rFonts w:cstheme="minorHAnsi"/>
          <w:szCs w:val="22"/>
        </w:rPr>
        <w:t xml:space="preserve">l’article </w:t>
      </w:r>
      <w:r>
        <w:rPr>
          <w:rFonts w:cstheme="minorHAnsi"/>
          <w:szCs w:val="22"/>
        </w:rPr>
        <w:t xml:space="preserve">2.1.1, son secrétariat technique et administratif est assuré par le Collège </w:t>
      </w:r>
      <w:r w:rsidR="00D20F24">
        <w:rPr>
          <w:rFonts w:cstheme="minorHAnsi"/>
          <w:szCs w:val="22"/>
        </w:rPr>
        <w:t xml:space="preserve">des </w:t>
      </w:r>
      <w:r>
        <w:rPr>
          <w:rFonts w:cstheme="minorHAnsi"/>
          <w:szCs w:val="22"/>
        </w:rPr>
        <w:t>employeur</w:t>
      </w:r>
      <w:r w:rsidR="00D20F24">
        <w:rPr>
          <w:rFonts w:cstheme="minorHAnsi"/>
          <w:szCs w:val="22"/>
        </w:rPr>
        <w:t>s</w:t>
      </w:r>
      <w:r>
        <w:rPr>
          <w:rFonts w:cstheme="minorHAnsi"/>
          <w:szCs w:val="22"/>
        </w:rPr>
        <w:t>.</w:t>
      </w:r>
      <w:r w:rsidR="00D20F24" w:rsidRPr="00D20F24">
        <w:rPr>
          <w:rFonts w:cstheme="minorHAnsi"/>
          <w:szCs w:val="22"/>
        </w:rPr>
        <w:t xml:space="preserve"> </w:t>
      </w:r>
      <w:r w:rsidR="00D20F24" w:rsidRPr="003435F5">
        <w:rPr>
          <w:rFonts w:cstheme="minorHAnsi"/>
          <w:szCs w:val="22"/>
        </w:rPr>
        <w:t>A ce titre, le secrétariat technique et administratif</w:t>
      </w:r>
      <w:r w:rsidR="00D20F24">
        <w:rPr>
          <w:rFonts w:cstheme="minorHAnsi"/>
          <w:szCs w:val="22"/>
        </w:rPr>
        <w:t xml:space="preserve"> </w:t>
      </w:r>
      <w:r w:rsidR="00D20F24" w:rsidRPr="003435F5">
        <w:rPr>
          <w:rFonts w:cstheme="minorHAnsi"/>
          <w:szCs w:val="22"/>
        </w:rPr>
        <w:t>n’occupe aucun siège.</w:t>
      </w:r>
    </w:p>
    <w:p w:rsidR="00D20F24" w:rsidRDefault="00D20F24" w:rsidP="00B42C94">
      <w:pPr>
        <w:spacing w:after="0"/>
        <w:rPr>
          <w:rFonts w:cstheme="minorHAnsi"/>
          <w:szCs w:val="22"/>
        </w:rPr>
      </w:pPr>
    </w:p>
    <w:p w:rsidR="00A46AC6" w:rsidRDefault="003435F5" w:rsidP="00B42C94">
      <w:pPr>
        <w:spacing w:after="0"/>
      </w:pPr>
      <w:r w:rsidRPr="003435F5">
        <w:rPr>
          <w:rFonts w:cstheme="minorHAnsi"/>
          <w:szCs w:val="22"/>
        </w:rPr>
        <w:t>L’OPCA contribue à son financement selon les dispositions légales en vigueur.</w:t>
      </w:r>
    </w:p>
    <w:p w:rsidR="003435F5" w:rsidRDefault="0093773D" w:rsidP="00C17F13">
      <w:pPr>
        <w:pStyle w:val="Citationintense"/>
      </w:pPr>
      <w:bookmarkStart w:id="12" w:name="_Toc432788905"/>
      <w:r>
        <w:t xml:space="preserve">2.3 </w:t>
      </w:r>
      <w:r w:rsidR="005C2CBC">
        <w:t>L’Organisme Paritaire Collecteur Agrée (OPCA)</w:t>
      </w:r>
      <w:bookmarkEnd w:id="12"/>
    </w:p>
    <w:p w:rsidR="005D18B8" w:rsidRDefault="0093773D" w:rsidP="00C17F13">
      <w:pPr>
        <w:pStyle w:val="Titre1"/>
      </w:pPr>
      <w:bookmarkStart w:id="13" w:name="_Toc432788906"/>
      <w:r>
        <w:t>2.3</w:t>
      </w:r>
      <w:r w:rsidR="00370C2C">
        <w:t xml:space="preserve">.1 </w:t>
      </w:r>
      <w:r w:rsidR="005D18B8">
        <w:t>Désignation de l’OPCA pour l’Interbranches</w:t>
      </w:r>
      <w:bookmarkEnd w:id="13"/>
    </w:p>
    <w:p w:rsidR="000C1C5D" w:rsidRPr="000C1C5D" w:rsidRDefault="00D2194B" w:rsidP="000C1C5D">
      <w:r>
        <w:t>Les signataires du présent accord renv</w:t>
      </w:r>
      <w:r w:rsidR="006955E5">
        <w:t>oient à l’accord relatif à la</w:t>
      </w:r>
      <w:r>
        <w:t xml:space="preserve"> désignation d’un OPCA par l’Interbranches de l’enseignement privé sous contrat du 27 juin 2011.</w:t>
      </w:r>
    </w:p>
    <w:p w:rsidR="005D18B8" w:rsidRDefault="0093773D" w:rsidP="00C17F13">
      <w:pPr>
        <w:pStyle w:val="Titre1"/>
      </w:pPr>
      <w:bookmarkStart w:id="14" w:name="_Toc432788907"/>
      <w:r>
        <w:t>2.</w:t>
      </w:r>
      <w:r w:rsidR="00370C2C">
        <w:t xml:space="preserve">3.2 </w:t>
      </w:r>
      <w:r w:rsidR="005D18B8">
        <w:t>Missions de l’OPCA</w:t>
      </w:r>
      <w:bookmarkEnd w:id="14"/>
    </w:p>
    <w:p w:rsidR="005D18B8" w:rsidRDefault="005D18B8" w:rsidP="00445DE5">
      <w:pPr>
        <w:spacing w:line="276" w:lineRule="auto"/>
      </w:pPr>
      <w:r>
        <w:t>Les signataires rappellent que la principale mission de l’OPCA désigné par l’Interbranches est de financer des actions de formation.</w:t>
      </w:r>
    </w:p>
    <w:p w:rsidR="005D18B8" w:rsidRDefault="000C1C5D" w:rsidP="00445DE5">
      <w:pPr>
        <w:spacing w:line="276" w:lineRule="auto"/>
      </w:pPr>
      <w:r>
        <w:t xml:space="preserve">En outre, sous l’autorité de la </w:t>
      </w:r>
      <w:r w:rsidR="006955E5">
        <w:rPr>
          <w:i/>
        </w:rPr>
        <w:t>CPN</w:t>
      </w:r>
      <w:r w:rsidRPr="006955E5">
        <w:rPr>
          <w:i/>
        </w:rPr>
        <w:t xml:space="preserve"> EEP</w:t>
      </w:r>
      <w:r w:rsidR="006955E5">
        <w:rPr>
          <w:i/>
        </w:rPr>
        <w:t xml:space="preserve"> Formation</w:t>
      </w:r>
      <w:r>
        <w:t>, l’OPCA de l’Interbranches assure les missions suivantes :</w:t>
      </w:r>
    </w:p>
    <w:p w:rsidR="000C1C5D" w:rsidRDefault="00B42C94" w:rsidP="00023A16">
      <w:pPr>
        <w:pStyle w:val="Paragraphedeliste"/>
        <w:numPr>
          <w:ilvl w:val="0"/>
          <w:numId w:val="5"/>
        </w:numPr>
        <w:spacing w:after="120" w:line="276" w:lineRule="auto"/>
        <w:ind w:left="714" w:hanging="357"/>
        <w:contextualSpacing w:val="0"/>
      </w:pPr>
      <w:r>
        <w:t>c</w:t>
      </w:r>
      <w:r w:rsidR="000C1C5D">
        <w:t xml:space="preserve">ollecte des fonds de la </w:t>
      </w:r>
      <w:r w:rsidR="00370C2C">
        <w:t>f</w:t>
      </w:r>
      <w:r w:rsidR="000C1C5D">
        <w:t>ormation professionnelle continue</w:t>
      </w:r>
      <w:r>
        <w:t> ;</w:t>
      </w:r>
    </w:p>
    <w:p w:rsidR="009F6D62" w:rsidRPr="009F6D62" w:rsidRDefault="009F6D62" w:rsidP="00023A16">
      <w:pPr>
        <w:pStyle w:val="Paragraphedeliste"/>
        <w:numPr>
          <w:ilvl w:val="0"/>
          <w:numId w:val="5"/>
        </w:numPr>
        <w:spacing w:after="120" w:line="276" w:lineRule="auto"/>
        <w:ind w:left="714" w:hanging="357"/>
        <w:contextualSpacing w:val="0"/>
      </w:pPr>
      <w:r w:rsidRPr="009F6D62">
        <w:t>activation d’autres sources de financement ;</w:t>
      </w:r>
    </w:p>
    <w:p w:rsidR="000C1C5D" w:rsidRDefault="00B42C94" w:rsidP="00023A16">
      <w:pPr>
        <w:pStyle w:val="Paragraphedeliste"/>
        <w:numPr>
          <w:ilvl w:val="0"/>
          <w:numId w:val="5"/>
        </w:numPr>
        <w:spacing w:after="120" w:line="276" w:lineRule="auto"/>
        <w:ind w:left="714" w:hanging="357"/>
        <w:contextualSpacing w:val="0"/>
      </w:pPr>
      <w:r>
        <w:t>c</w:t>
      </w:r>
      <w:r w:rsidR="000C1C5D">
        <w:t>onseil et service de proximité</w:t>
      </w:r>
      <w:r>
        <w:t> ;</w:t>
      </w:r>
    </w:p>
    <w:p w:rsidR="000C1C5D" w:rsidRDefault="00B42C94" w:rsidP="00023A16">
      <w:pPr>
        <w:pStyle w:val="Paragraphedeliste"/>
        <w:numPr>
          <w:ilvl w:val="0"/>
          <w:numId w:val="5"/>
        </w:numPr>
        <w:spacing w:after="120" w:line="276" w:lineRule="auto"/>
        <w:ind w:left="714" w:hanging="357"/>
        <w:contextualSpacing w:val="0"/>
      </w:pPr>
      <w:r>
        <w:t>g</w:t>
      </w:r>
      <w:r w:rsidR="000C1C5D">
        <w:t>estion administrative et financière des dossiers de formation pris en charge</w:t>
      </w:r>
      <w:r w:rsidR="009F6D62">
        <w:t>.</w:t>
      </w:r>
    </w:p>
    <w:p w:rsidR="00842966" w:rsidRDefault="0093773D" w:rsidP="00C17F13">
      <w:pPr>
        <w:pStyle w:val="Titre1"/>
      </w:pPr>
      <w:bookmarkStart w:id="15" w:name="_Toc432788908"/>
      <w:r>
        <w:t>2.</w:t>
      </w:r>
      <w:r w:rsidR="00370C2C">
        <w:t xml:space="preserve">3.3 </w:t>
      </w:r>
      <w:r w:rsidR="002E316E">
        <w:t>Section P</w:t>
      </w:r>
      <w:r w:rsidR="00842966" w:rsidRPr="00842966">
        <w:t xml:space="preserve">aritaire </w:t>
      </w:r>
      <w:r w:rsidR="002E316E">
        <w:t>P</w:t>
      </w:r>
      <w:r w:rsidR="00842966" w:rsidRPr="00842966">
        <w:t>rofessionnelle</w:t>
      </w:r>
      <w:r w:rsidR="00570A0D">
        <w:t xml:space="preserve"> </w:t>
      </w:r>
      <w:r w:rsidR="00370C2C">
        <w:t>(SPP)</w:t>
      </w:r>
      <w:bookmarkEnd w:id="15"/>
    </w:p>
    <w:p w:rsidR="005C2CBC" w:rsidRDefault="006955E5" w:rsidP="00AD21BF">
      <w:r>
        <w:t xml:space="preserve">Les signataires du présent accord renvoient à </w:t>
      </w:r>
      <w:r w:rsidR="00C60A55">
        <w:t xml:space="preserve">la </w:t>
      </w:r>
      <w:r w:rsidR="00C60A55" w:rsidRPr="00C60A55">
        <w:t xml:space="preserve">Convention portant sur la création et le fonctionnement de la Section Professionnelle Paritaire </w:t>
      </w:r>
      <w:r w:rsidR="002E316E">
        <w:t xml:space="preserve">(SPP) </w:t>
      </w:r>
      <w:r w:rsidR="00C60A55" w:rsidRPr="00C60A55">
        <w:t>de L’Enseignement Privé</w:t>
      </w:r>
      <w:r w:rsidR="00C60A55">
        <w:t xml:space="preserve"> du 15 décembre 2011.</w:t>
      </w:r>
      <w:r w:rsidR="005C2CBC">
        <w:br w:type="page"/>
      </w:r>
    </w:p>
    <w:p w:rsidR="005C2CBC" w:rsidRPr="00C17F13" w:rsidRDefault="005C2CBC" w:rsidP="00C17F13">
      <w:pPr>
        <w:pStyle w:val="Style6"/>
      </w:pPr>
      <w:bookmarkStart w:id="16" w:name="_Toc432788909"/>
      <w:r w:rsidRPr="00C17F13">
        <w:t>L’accompagnement tout au long du parcours professionnel</w:t>
      </w:r>
      <w:bookmarkEnd w:id="16"/>
    </w:p>
    <w:p w:rsidR="009D0BBD" w:rsidRDefault="009D0BBD" w:rsidP="009D0BBD">
      <w:r>
        <w:t>La gestion des carrières des salariés et l’évolution des emplois et compétences des établissements nécessite</w:t>
      </w:r>
      <w:r w:rsidR="008221EC">
        <w:t>nt</w:t>
      </w:r>
      <w:r>
        <w:t xml:space="preserve"> une information, un accompagnement des salariés et des établissements, </w:t>
      </w:r>
      <w:r w:rsidR="00270B2E">
        <w:t xml:space="preserve">ainsi que </w:t>
      </w:r>
      <w:r>
        <w:t>des outils et des dispositifs adaptés à leurs besoins.</w:t>
      </w:r>
    </w:p>
    <w:p w:rsidR="001F3C6E" w:rsidRDefault="001F3C6E" w:rsidP="001F3C6E">
      <w:r w:rsidRPr="001F3C6E">
        <w:t>Les signataires s’accordent sur les missions suivantes de la formation professionnelle continue pour l’Interbranches :</w:t>
      </w:r>
    </w:p>
    <w:p w:rsidR="001F3C6E" w:rsidRDefault="001F3C6E" w:rsidP="00023A16">
      <w:pPr>
        <w:pStyle w:val="Paragraphedeliste"/>
        <w:numPr>
          <w:ilvl w:val="0"/>
          <w:numId w:val="23"/>
        </w:numPr>
        <w:spacing w:after="120"/>
        <w:ind w:left="714" w:hanging="357"/>
        <w:contextualSpacing w:val="0"/>
      </w:pPr>
      <w:r w:rsidRPr="001F3C6E">
        <w:t>donner l’accès à la formation aux salariés dont l’employabilité est la plus fragile afin d’assurer la sécurisation des parcours professionnels ;</w:t>
      </w:r>
    </w:p>
    <w:p w:rsidR="001F3C6E" w:rsidRDefault="001F3C6E" w:rsidP="00023A16">
      <w:pPr>
        <w:pStyle w:val="Paragraphedeliste"/>
        <w:numPr>
          <w:ilvl w:val="0"/>
          <w:numId w:val="23"/>
        </w:numPr>
        <w:spacing w:after="120"/>
        <w:ind w:left="714" w:hanging="357"/>
        <w:contextualSpacing w:val="0"/>
      </w:pPr>
      <w:r w:rsidRPr="001F3C6E">
        <w:t>favoriser les conditions du développement des compétences par l’accès</w:t>
      </w:r>
      <w:r w:rsidR="008221EC">
        <w:t xml:space="preserve"> à la formation professionnelle ;</w:t>
      </w:r>
    </w:p>
    <w:p w:rsidR="001F3C6E" w:rsidRDefault="001F3C6E" w:rsidP="00023A16">
      <w:pPr>
        <w:pStyle w:val="Paragraphedeliste"/>
        <w:numPr>
          <w:ilvl w:val="0"/>
          <w:numId w:val="23"/>
        </w:numPr>
        <w:spacing w:after="120"/>
        <w:ind w:left="714" w:hanging="357"/>
        <w:contextualSpacing w:val="0"/>
      </w:pPr>
      <w:r w:rsidRPr="001F3C6E">
        <w:t>s’emparer du socle de connaissances et de compétences</w:t>
      </w:r>
      <w:r w:rsidR="00B479E8" w:rsidRPr="00B479E8">
        <w:rPr>
          <w:szCs w:val="22"/>
        </w:rPr>
        <w:t xml:space="preserve"> </w:t>
      </w:r>
      <w:r w:rsidR="00B479E8" w:rsidRPr="00E6152E">
        <w:rPr>
          <w:szCs w:val="22"/>
        </w:rPr>
        <w:t>professionnelles</w:t>
      </w:r>
      <w:r w:rsidR="008221EC">
        <w:t>.</w:t>
      </w:r>
    </w:p>
    <w:p w:rsidR="0093773D" w:rsidRDefault="0093773D" w:rsidP="0093773D">
      <w:pPr>
        <w:pStyle w:val="Paragraphedeliste"/>
      </w:pPr>
    </w:p>
    <w:p w:rsidR="008A3DEE" w:rsidRPr="00C17F13" w:rsidRDefault="008A3DEE" w:rsidP="00C17F13">
      <w:pPr>
        <w:pStyle w:val="Style8"/>
      </w:pPr>
      <w:bookmarkStart w:id="17" w:name="_Toc432788910"/>
      <w:r w:rsidRPr="00C17F13">
        <w:t>Section 1</w:t>
      </w:r>
      <w:r w:rsidR="008659D0" w:rsidRPr="00C17F13">
        <w:t> :</w:t>
      </w:r>
      <w:r w:rsidRPr="00C17F13">
        <w:t xml:space="preserve"> Information et accompagnement </w:t>
      </w:r>
      <w:r w:rsidR="008221EC" w:rsidRPr="00C17F13">
        <w:t>du salarié</w:t>
      </w:r>
      <w:r w:rsidRPr="00C17F13">
        <w:t xml:space="preserve"> dans la gestion de sa carrière</w:t>
      </w:r>
      <w:bookmarkEnd w:id="17"/>
    </w:p>
    <w:p w:rsidR="003A1C38" w:rsidRDefault="008A13C1" w:rsidP="00C17F13">
      <w:pPr>
        <w:pStyle w:val="Citationintense"/>
      </w:pPr>
      <w:bookmarkStart w:id="18" w:name="_Toc432788911"/>
      <w:r>
        <w:t xml:space="preserve">3.1 </w:t>
      </w:r>
      <w:r w:rsidR="003A1C38">
        <w:t xml:space="preserve">L’Entretien professionnel </w:t>
      </w:r>
      <w:r w:rsidR="00AE3240">
        <w:t>et état des lieux récapitulatif</w:t>
      </w:r>
      <w:bookmarkEnd w:id="18"/>
    </w:p>
    <w:p w:rsidR="00A64104" w:rsidRPr="00091200" w:rsidRDefault="00A64104" w:rsidP="00A64104">
      <w:pPr>
        <w:rPr>
          <w:bCs/>
        </w:rPr>
      </w:pPr>
      <w:r w:rsidRPr="00091200">
        <w:t xml:space="preserve">La loi n°2014-288 du 5 mars 2014 </w:t>
      </w:r>
      <w:r w:rsidRPr="00091200">
        <w:rPr>
          <w:bCs/>
        </w:rPr>
        <w:t xml:space="preserve">relative à la formation professionnelle, à l'emploi et à la démocratie sociale a redéfini l’entretien professionnel. Les dispositions du présent </w:t>
      </w:r>
      <w:r w:rsidR="00817D6B">
        <w:rPr>
          <w:bCs/>
        </w:rPr>
        <w:t>accord</w:t>
      </w:r>
      <w:r w:rsidR="00817D6B" w:rsidRPr="00091200">
        <w:rPr>
          <w:bCs/>
        </w:rPr>
        <w:t xml:space="preserve"> </w:t>
      </w:r>
      <w:r w:rsidRPr="00091200">
        <w:rPr>
          <w:bCs/>
        </w:rPr>
        <w:t xml:space="preserve">se substituent à </w:t>
      </w:r>
      <w:r w:rsidR="001B151A">
        <w:rPr>
          <w:bCs/>
        </w:rPr>
        <w:t xml:space="preserve">celles </w:t>
      </w:r>
      <w:r w:rsidR="004B498B">
        <w:rPr>
          <w:bCs/>
        </w:rPr>
        <w:t>de</w:t>
      </w:r>
      <w:r w:rsidRPr="00091200">
        <w:rPr>
          <w:bCs/>
        </w:rPr>
        <w:t xml:space="preserve"> l’accord national Interbranches</w:t>
      </w:r>
      <w:r w:rsidR="00325B9F" w:rsidRPr="00091200">
        <w:rPr>
          <w:bCs/>
        </w:rPr>
        <w:t xml:space="preserve"> </w:t>
      </w:r>
      <w:r w:rsidR="001B151A">
        <w:rPr>
          <w:bCs/>
        </w:rPr>
        <w:t xml:space="preserve">sur </w:t>
      </w:r>
      <w:r w:rsidR="001B151A" w:rsidRPr="00091200">
        <w:rPr>
          <w:bCs/>
        </w:rPr>
        <w:t xml:space="preserve">l’Entretien Annuel d’Activité et de Développement (EAAD) </w:t>
      </w:r>
      <w:r w:rsidR="00DB07C4">
        <w:rPr>
          <w:bCs/>
        </w:rPr>
        <w:t xml:space="preserve">dans les établissements d’enseignement privé sous contrat </w:t>
      </w:r>
      <w:r w:rsidRPr="00091200">
        <w:rPr>
          <w:bCs/>
        </w:rPr>
        <w:t xml:space="preserve">du 18 juin 2009. </w:t>
      </w:r>
    </w:p>
    <w:p w:rsidR="00EF33C7" w:rsidRPr="0081416C" w:rsidRDefault="00EF33C7" w:rsidP="003D2641">
      <w:r>
        <w:t>Chaque salarié b</w:t>
      </w:r>
      <w:r w:rsidRPr="0081416C">
        <w:t xml:space="preserve">énéficie tous les 2 ans d'un entretien professionnel consacré à ses perspectives d'évolution professionnelle, notamment en termes de qualifications et d'emploi. </w:t>
      </w:r>
      <w:r w:rsidR="00006DDE">
        <w:t xml:space="preserve">Il </w:t>
      </w:r>
      <w:r w:rsidR="00006DDE" w:rsidRPr="0081416C">
        <w:t>ne porte pas sur l'évaluation du travail du salarié</w:t>
      </w:r>
      <w:r w:rsidR="00006DDE">
        <w:t>.</w:t>
      </w:r>
    </w:p>
    <w:p w:rsidR="00023A16" w:rsidRDefault="00EF33C7" w:rsidP="003D2641">
      <w:r w:rsidRPr="0081416C">
        <w:t xml:space="preserve">Cet entretien est </w:t>
      </w:r>
      <w:r w:rsidR="0081416C">
        <w:t xml:space="preserve">organisé </w:t>
      </w:r>
      <w:r w:rsidRPr="0081416C">
        <w:t xml:space="preserve">par le chef d’établissement ou </w:t>
      </w:r>
      <w:r w:rsidR="00D20F24">
        <w:t xml:space="preserve">par </w:t>
      </w:r>
      <w:r w:rsidRPr="0081416C">
        <w:t>un cadre délégué</w:t>
      </w:r>
      <w:r w:rsidR="0081416C">
        <w:t xml:space="preserve"> formé à la conduite d’entretien et ayant la connaissance des dispositifs </w:t>
      </w:r>
      <w:r w:rsidR="00006DDE">
        <w:t xml:space="preserve">de </w:t>
      </w:r>
      <w:r w:rsidR="0081416C">
        <w:t>formation.</w:t>
      </w:r>
      <w:r w:rsidR="00A3237F">
        <w:t xml:space="preserve"> </w:t>
      </w:r>
    </w:p>
    <w:p w:rsidR="00023A16" w:rsidRDefault="00A3237F" w:rsidP="003D2641">
      <w:r>
        <w:t xml:space="preserve">Une fiche de poste est nécessaire à sa conduite. </w:t>
      </w:r>
    </w:p>
    <w:p w:rsidR="00EF33C7" w:rsidRPr="0081416C" w:rsidRDefault="00A3237F" w:rsidP="003D2641">
      <w:r>
        <w:t>Cet entretien donne lieu à la formalisation d’un document dont une copie est remise au salarié.</w:t>
      </w:r>
    </w:p>
    <w:p w:rsidR="00AE3240" w:rsidRPr="00AA5903" w:rsidRDefault="00AE3240" w:rsidP="00AE3240">
      <w:r w:rsidRPr="00AA5903">
        <w:t xml:space="preserve">Conformément aux dispositions de l’article L. 6315-1 du Code du travail, tous les </w:t>
      </w:r>
      <w:r w:rsidR="00A3237F" w:rsidRPr="00AA5903">
        <w:t xml:space="preserve">6 </w:t>
      </w:r>
      <w:r w:rsidRPr="00AA5903">
        <w:t xml:space="preserve">ans, l'entretien professionnel fait un état des lieux récapitulatif du parcours professionnel du salarié. </w:t>
      </w:r>
    </w:p>
    <w:p w:rsidR="00AE3240" w:rsidRPr="00AA5903" w:rsidRDefault="00AE3240" w:rsidP="00AE3240">
      <w:r w:rsidRPr="00AA5903">
        <w:t>A cet</w:t>
      </w:r>
      <w:r w:rsidR="00A3237F" w:rsidRPr="00AA5903">
        <w:t>te</w:t>
      </w:r>
      <w:r w:rsidRPr="00AA5903">
        <w:t xml:space="preserve"> occasion, un document est rédigé dont une copie est remise au salarié. Ce document permet de vérifier que </w:t>
      </w:r>
      <w:r w:rsidR="006C1F56" w:rsidRPr="00AA5903">
        <w:t>ce dernier</w:t>
      </w:r>
      <w:r w:rsidRPr="00AA5903">
        <w:t xml:space="preserve"> a bénéficié au cours des 6 dernières années des entretiens professionnels et d'apprécier s'il a :</w:t>
      </w:r>
    </w:p>
    <w:p w:rsidR="00AE3240" w:rsidRPr="00AA5903" w:rsidRDefault="00A3237F" w:rsidP="005F1EAC">
      <w:pPr>
        <w:pStyle w:val="Paragraphedeliste"/>
        <w:numPr>
          <w:ilvl w:val="0"/>
          <w:numId w:val="24"/>
        </w:numPr>
        <w:spacing w:after="120"/>
        <w:ind w:left="714" w:hanging="357"/>
      </w:pPr>
      <w:r w:rsidRPr="00AA5903">
        <w:t>s</w:t>
      </w:r>
      <w:r w:rsidR="00AE3240" w:rsidRPr="00AA5903">
        <w:t>uivi au moins une action de formation ;</w:t>
      </w:r>
    </w:p>
    <w:p w:rsidR="00AE3240" w:rsidRPr="00AA5903" w:rsidRDefault="00A3237F" w:rsidP="005F1EAC">
      <w:pPr>
        <w:pStyle w:val="Paragraphedeliste"/>
        <w:numPr>
          <w:ilvl w:val="0"/>
          <w:numId w:val="24"/>
        </w:numPr>
        <w:spacing w:after="120"/>
        <w:ind w:left="714" w:hanging="357"/>
      </w:pPr>
      <w:r w:rsidRPr="00AA5903">
        <w:t>a</w:t>
      </w:r>
      <w:r w:rsidR="00AE3240" w:rsidRPr="00AA5903">
        <w:t>cquis des éléments de certification par la formation ou par une validation des acquis de son expérience ;</w:t>
      </w:r>
    </w:p>
    <w:p w:rsidR="00AE3240" w:rsidRPr="00AA5903" w:rsidRDefault="00A3237F" w:rsidP="005F1EAC">
      <w:pPr>
        <w:pStyle w:val="Paragraphedeliste"/>
        <w:numPr>
          <w:ilvl w:val="0"/>
          <w:numId w:val="24"/>
        </w:numPr>
        <w:spacing w:after="120"/>
        <w:ind w:left="714" w:hanging="357"/>
      </w:pPr>
      <w:r w:rsidRPr="00AA5903">
        <w:t>b</w:t>
      </w:r>
      <w:r w:rsidR="00AE3240" w:rsidRPr="00AA5903">
        <w:t>énéficié d'une progression salariale ou professionnelle.</w:t>
      </w:r>
    </w:p>
    <w:p w:rsidR="00A3237F" w:rsidRPr="00AA5903" w:rsidRDefault="00A3237F" w:rsidP="00A3237F">
      <w:r w:rsidRPr="00AA5903">
        <w:t xml:space="preserve">La </w:t>
      </w:r>
      <w:r w:rsidRPr="00AA5903">
        <w:rPr>
          <w:i/>
        </w:rPr>
        <w:t>CPN EEP Formation</w:t>
      </w:r>
      <w:r w:rsidR="006C1F56" w:rsidRPr="00AA5903">
        <w:t xml:space="preserve"> mettra à disposition</w:t>
      </w:r>
      <w:r w:rsidRPr="00AA5903">
        <w:t xml:space="preserve"> des outils de référence utilisables dans les établissements.</w:t>
      </w:r>
    </w:p>
    <w:p w:rsidR="003A1C38" w:rsidRDefault="008A13C1" w:rsidP="00C17F13">
      <w:pPr>
        <w:pStyle w:val="Citationintense"/>
      </w:pPr>
      <w:bookmarkStart w:id="19" w:name="_Toc432788912"/>
      <w:r>
        <w:t xml:space="preserve">3.2 </w:t>
      </w:r>
      <w:r w:rsidR="003A1C38">
        <w:t>Le Bilan de compétences</w:t>
      </w:r>
      <w:bookmarkEnd w:id="19"/>
    </w:p>
    <w:p w:rsidR="003A1C38" w:rsidRDefault="003A1C38" w:rsidP="003A1C38">
      <w:r>
        <w:t>Les actions de bilan de compétences contribuent à l’élaboration, par le salarié concerné, d’un projet professionnel.</w:t>
      </w:r>
    </w:p>
    <w:p w:rsidR="003C7CA4" w:rsidRDefault="003A1C38" w:rsidP="003A1C38">
      <w:r>
        <w:t xml:space="preserve">Tout salarié ayant 5 années d’activité professionnelle peut demander à bénéficier d’un bilan de compétences dans le cadre d’une démarche individuelle, lui permettant notamment de conforter son projet </w:t>
      </w:r>
      <w:r w:rsidR="00EF33C7">
        <w:t xml:space="preserve">ou d’un repositionnement </w:t>
      </w:r>
      <w:r>
        <w:t>professionnel</w:t>
      </w:r>
      <w:r w:rsidR="003C7CA4">
        <w:t xml:space="preserve">. </w:t>
      </w:r>
    </w:p>
    <w:p w:rsidR="003A1C38" w:rsidRDefault="003C7CA4" w:rsidP="003A1C38">
      <w:r>
        <w:t xml:space="preserve">Les salariés en contrat à durée déterminée bénéficient </w:t>
      </w:r>
      <w:r w:rsidR="00E95A1A">
        <w:t>du dispositif sous la condition d’ancienneté déte</w:t>
      </w:r>
      <w:r w:rsidR="006845A3">
        <w:t>rminée par l’article R. 6322-20 du Code du travail.</w:t>
      </w:r>
    </w:p>
    <w:p w:rsidR="003A1C38" w:rsidRDefault="003A1C38" w:rsidP="003A1C38">
      <w:r>
        <w:t>La réalisation de ce bilan a lieu pendant ou en dehors du temps de travail.</w:t>
      </w:r>
    </w:p>
    <w:p w:rsidR="003A1C38" w:rsidRDefault="003A1C38" w:rsidP="003A1C38">
      <w:r>
        <w:t>Après 20 années d’activité professionnelle et en tout état de cause à compter de son 45</w:t>
      </w:r>
      <w:r w:rsidRPr="0081416C">
        <w:rPr>
          <w:vertAlign w:val="superscript"/>
        </w:rPr>
        <w:t>ème</w:t>
      </w:r>
      <w:r w:rsidR="0081416C">
        <w:t xml:space="preserve"> </w:t>
      </w:r>
      <w:r>
        <w:t>anniversaire, tout salarié bénéficie, à son initiative et sous réserve d’une ancienneté minimum d’un an dans l’entreprise qui l’emploie, d’un bilan de compétences mis en œuvre en dehors du temps de travail.</w:t>
      </w:r>
    </w:p>
    <w:p w:rsidR="003A1C38" w:rsidRDefault="003A1C38" w:rsidP="003A1C38">
      <w:r>
        <w:t>Ces actions de bilan contribuent à l’élaboration, par le salarié conce</w:t>
      </w:r>
      <w:r w:rsidR="0081416C">
        <w:t xml:space="preserve">rné, d’un projet professionnel </w:t>
      </w:r>
      <w:r>
        <w:t xml:space="preserve">donnant lieu, le cas échéant, à la réalisation d’actions de formation. </w:t>
      </w:r>
    </w:p>
    <w:p w:rsidR="003A1C38" w:rsidRDefault="003A1C38" w:rsidP="003A1C38">
      <w:r>
        <w:t>Le salarié qui bénéficie du bilan de compétences peut transmettre à son employeur  les éléments permettant la personnalisation de la formation.</w:t>
      </w:r>
    </w:p>
    <w:p w:rsidR="003A1C38" w:rsidRDefault="003A1C38" w:rsidP="003A1C38">
      <w:r>
        <w:t>Les conclusions de ce bilan sont la propriété exclusive du salarié et celui-ci peut refuser de les transmettre à son employeur.</w:t>
      </w:r>
    </w:p>
    <w:p w:rsidR="003A1C38" w:rsidRDefault="008A13C1" w:rsidP="00C17F13">
      <w:pPr>
        <w:pStyle w:val="Citationintense"/>
      </w:pPr>
      <w:bookmarkStart w:id="20" w:name="_Toc432788913"/>
      <w:r>
        <w:t xml:space="preserve">3.3 </w:t>
      </w:r>
      <w:r w:rsidR="003A1C38">
        <w:t>Le Conseil en Evolution Professionnelle (CEP)</w:t>
      </w:r>
      <w:bookmarkEnd w:id="20"/>
    </w:p>
    <w:p w:rsidR="003A1C38" w:rsidRDefault="003A1C38" w:rsidP="003A1C38">
      <w:r>
        <w:t xml:space="preserve">Conformément à l’article L. 6111-6 du Code du travail, tous les salariés de l’Interbranches ont accès à </w:t>
      </w:r>
      <w:r w:rsidR="00234A4B">
        <w:t xml:space="preserve">partir du 1 </w:t>
      </w:r>
      <w:r w:rsidR="00234A4B" w:rsidRPr="00954F0E">
        <w:rPr>
          <w:vertAlign w:val="superscript"/>
        </w:rPr>
        <w:t>er</w:t>
      </w:r>
      <w:r w:rsidR="00234A4B">
        <w:t xml:space="preserve"> janvier 2015 au C</w:t>
      </w:r>
      <w:r>
        <w:t xml:space="preserve">onseil en </w:t>
      </w:r>
      <w:r w:rsidR="00234A4B">
        <w:t>E</w:t>
      </w:r>
      <w:r>
        <w:t xml:space="preserve">volution </w:t>
      </w:r>
      <w:r w:rsidR="00234A4B">
        <w:t>P</w:t>
      </w:r>
      <w:r>
        <w:t>rofessionnelle.</w:t>
      </w:r>
    </w:p>
    <w:p w:rsidR="003A1C38" w:rsidRDefault="003A1C38" w:rsidP="003A1C38">
      <w:r>
        <w:t xml:space="preserve">Le CEP est un dispositif d'accompagnement personnalisé et gratuit proposé à tout salarié souhaitant faire le point sur sa situation professionnelle. </w:t>
      </w:r>
    </w:p>
    <w:p w:rsidR="003A1C38" w:rsidRDefault="003A1C38" w:rsidP="003A1C38">
      <w:r>
        <w:t>C’est une prestation confidentielle relevant du service public de l’orientation, externe</w:t>
      </w:r>
      <w:r w:rsidR="00930901">
        <w:t>, à ce titre,</w:t>
      </w:r>
      <w:r>
        <w:t xml:space="preserve"> à l’entreprise.</w:t>
      </w:r>
    </w:p>
    <w:p w:rsidR="003A1C38" w:rsidRDefault="003A1C38" w:rsidP="003A1C38">
      <w:r>
        <w:t>Le CEP est assuré par des conseillers au sein d’or</w:t>
      </w:r>
      <w:r w:rsidR="006845A3">
        <w:t>ganismes labellisés comme Pôle E</w:t>
      </w:r>
      <w:r>
        <w:t>mploi, l’APEC, les missions locales, les OPACIF</w:t>
      </w:r>
      <w:r w:rsidR="00930901">
        <w:t>ou</w:t>
      </w:r>
      <w:r>
        <w:t xml:space="preserve"> les </w:t>
      </w:r>
      <w:r w:rsidR="006845A3">
        <w:t>« </w:t>
      </w:r>
      <w:r>
        <w:t>CAP emploi</w:t>
      </w:r>
      <w:r w:rsidR="006845A3">
        <w:t> »</w:t>
      </w:r>
      <w:r>
        <w:t xml:space="preserve"> pour les personnes en situation de handicap.</w:t>
      </w:r>
    </w:p>
    <w:p w:rsidR="004C4827" w:rsidRPr="00F34451" w:rsidRDefault="008A13C1" w:rsidP="00C17F13">
      <w:pPr>
        <w:pStyle w:val="Citationintense"/>
      </w:pPr>
      <w:bookmarkStart w:id="21" w:name="_Toc432788914"/>
      <w:r>
        <w:t xml:space="preserve">3.4 </w:t>
      </w:r>
      <w:r w:rsidR="004C4827" w:rsidRPr="00F34451">
        <w:t>Librio EEP Formation</w:t>
      </w:r>
      <w:bookmarkEnd w:id="21"/>
      <w:r w:rsidR="004C4827" w:rsidRPr="00F34451">
        <w:t xml:space="preserve"> </w:t>
      </w:r>
    </w:p>
    <w:p w:rsidR="004C4827" w:rsidRDefault="004C4827" w:rsidP="004C4827">
      <w:r>
        <w:t>Afin de favoriser sa mobilité interne ou externe, chaque salarié doit être en mesure d'identifier et de faire certifier ses connaissances, ses compétences et ses aptitudes professionnelles, acquises dans le cadre de la formation initiale ou continue, ou du fait de ses expériences professionnelles.</w:t>
      </w:r>
    </w:p>
    <w:p w:rsidR="004C4827" w:rsidRDefault="004C4827" w:rsidP="004C4827">
      <w:r>
        <w:t xml:space="preserve">Dans cette perspective, les parties signataires du présent accord souhaitent que chaque salarié puisse, à son initiative, établir un </w:t>
      </w:r>
      <w:r w:rsidRPr="0084785B">
        <w:rPr>
          <w:b/>
          <w:i/>
          <w:color w:val="92CDDC" w:themeColor="accent5" w:themeTint="99"/>
        </w:rPr>
        <w:t>Librio</w:t>
      </w:r>
      <w:r w:rsidRPr="0084785B">
        <w:rPr>
          <w:b/>
          <w:color w:val="92CDDC" w:themeColor="accent5" w:themeTint="99"/>
        </w:rPr>
        <w:t xml:space="preserve"> </w:t>
      </w:r>
      <w:r w:rsidRPr="0084785B">
        <w:rPr>
          <w:b/>
          <w:i/>
          <w:color w:val="92CDDC" w:themeColor="accent5" w:themeTint="99"/>
        </w:rPr>
        <w:t>EEP formation</w:t>
      </w:r>
      <w:r w:rsidRPr="0084785B">
        <w:rPr>
          <w:color w:val="92CDDC" w:themeColor="accent5" w:themeTint="99"/>
        </w:rPr>
        <w:t xml:space="preserve"> </w:t>
      </w:r>
      <w:r>
        <w:t>qui reste sa propriété et dont il garde la responsabilité d'utilisation.</w:t>
      </w:r>
    </w:p>
    <w:p w:rsidR="004C4827" w:rsidRDefault="004C4827" w:rsidP="004C4827">
      <w:r>
        <w:t xml:space="preserve">Un modèle de </w:t>
      </w:r>
      <w:r w:rsidRPr="0084785B">
        <w:rPr>
          <w:b/>
          <w:i/>
          <w:color w:val="92CDDC" w:themeColor="accent5" w:themeTint="99"/>
        </w:rPr>
        <w:t>Librio</w:t>
      </w:r>
      <w:r w:rsidRPr="0084785B">
        <w:rPr>
          <w:b/>
          <w:color w:val="92CDDC" w:themeColor="accent5" w:themeTint="99"/>
        </w:rPr>
        <w:t xml:space="preserve"> </w:t>
      </w:r>
      <w:r w:rsidRPr="0084785B">
        <w:rPr>
          <w:b/>
          <w:i/>
          <w:color w:val="92CDDC" w:themeColor="accent5" w:themeTint="99"/>
        </w:rPr>
        <w:t>EEP formation</w:t>
      </w:r>
      <w:r w:rsidRPr="0084785B">
        <w:rPr>
          <w:color w:val="92CDDC" w:themeColor="accent5" w:themeTint="99"/>
        </w:rPr>
        <w:t xml:space="preserve"> </w:t>
      </w:r>
      <w:r>
        <w:t xml:space="preserve">est diffusé par les partenaires signataires notamment sous forme de fichier électronique. </w:t>
      </w:r>
    </w:p>
    <w:p w:rsidR="00513BC5" w:rsidRDefault="004C4827" w:rsidP="00513BC5">
      <w:r>
        <w:t xml:space="preserve">Les salariés sont informés de son existence </w:t>
      </w:r>
      <w:r w:rsidR="00234A4B">
        <w:t>et de</w:t>
      </w:r>
      <w:r w:rsidR="00513BC5">
        <w:t xml:space="preserve"> ses </w:t>
      </w:r>
      <w:r w:rsidR="00234A4B">
        <w:t>conditions d’accès</w:t>
      </w:r>
      <w:r w:rsidR="00513BC5">
        <w:t xml:space="preserve">. </w:t>
      </w:r>
    </w:p>
    <w:p w:rsidR="00190131" w:rsidRDefault="00513BC5" w:rsidP="00513BC5">
      <w:pPr>
        <w:rPr>
          <w:color w:val="4F81BD" w:themeColor="accent1"/>
          <w:sz w:val="26"/>
          <w:szCs w:val="26"/>
        </w:rPr>
      </w:pPr>
      <w:r>
        <w:t xml:space="preserve">La </w:t>
      </w:r>
      <w:r w:rsidRPr="00513BC5">
        <w:rPr>
          <w:i/>
        </w:rPr>
        <w:t>CPN EEP Formation</w:t>
      </w:r>
      <w:r>
        <w:t xml:space="preserve"> les </w:t>
      </w:r>
      <w:r>
        <w:rPr>
          <w:szCs w:val="22"/>
          <w:lang w:eastAsia="fr-FR"/>
        </w:rPr>
        <w:t>porte à la connaissance du plus grand nombre et par tout moyen (site internet, communiqué, publication</w:t>
      </w:r>
      <w:r w:rsidR="00574547">
        <w:rPr>
          <w:szCs w:val="22"/>
          <w:lang w:eastAsia="fr-FR"/>
        </w:rPr>
        <w:t>,</w:t>
      </w:r>
      <w:r w:rsidR="001B151A">
        <w:rPr>
          <w:szCs w:val="22"/>
          <w:lang w:eastAsia="fr-FR"/>
        </w:rPr>
        <w:t xml:space="preserve"> etc.)</w:t>
      </w:r>
      <w:r>
        <w:rPr>
          <w:szCs w:val="22"/>
          <w:lang w:eastAsia="fr-FR"/>
        </w:rPr>
        <w:t>.</w:t>
      </w:r>
    </w:p>
    <w:p w:rsidR="00DE7479" w:rsidRDefault="00DE7479" w:rsidP="00513BC5">
      <w:pPr>
        <w:rPr>
          <w:b/>
          <w:color w:val="4F81BD" w:themeColor="accent1"/>
          <w:sz w:val="26"/>
          <w:szCs w:val="26"/>
        </w:rPr>
      </w:pPr>
    </w:p>
    <w:p w:rsidR="004C4827" w:rsidRPr="001F3C6E" w:rsidRDefault="004C4827" w:rsidP="00C17F13">
      <w:pPr>
        <w:pStyle w:val="Style8"/>
      </w:pPr>
      <w:bookmarkStart w:id="22" w:name="_Toc432788915"/>
      <w:r w:rsidRPr="001F3C6E">
        <w:t>Section 2</w:t>
      </w:r>
      <w:r w:rsidR="008659D0">
        <w:t> :</w:t>
      </w:r>
      <w:r w:rsidRPr="001F3C6E">
        <w:t xml:space="preserve"> </w:t>
      </w:r>
      <w:r w:rsidR="00440025">
        <w:t>Les d</w:t>
      </w:r>
      <w:r w:rsidRPr="001F3C6E">
        <w:t>ispositifs permettant le départ en formation</w:t>
      </w:r>
      <w:bookmarkEnd w:id="22"/>
      <w:r w:rsidRPr="001F3C6E">
        <w:t xml:space="preserve"> </w:t>
      </w:r>
    </w:p>
    <w:p w:rsidR="004C4827" w:rsidRDefault="008A13C1" w:rsidP="00C17F13">
      <w:pPr>
        <w:pStyle w:val="Citationintense"/>
      </w:pPr>
      <w:bookmarkStart w:id="23" w:name="_Toc432788916"/>
      <w:r>
        <w:t xml:space="preserve">3.5 </w:t>
      </w:r>
      <w:r w:rsidR="004C4827">
        <w:t>Le Plan de formation</w:t>
      </w:r>
      <w:bookmarkEnd w:id="23"/>
    </w:p>
    <w:p w:rsidR="004C4827" w:rsidRPr="00A16C1F" w:rsidRDefault="004C4827" w:rsidP="006845A3">
      <w:pPr>
        <w:rPr>
          <w:szCs w:val="22"/>
          <w:lang w:eastAsia="fr-FR"/>
        </w:rPr>
      </w:pPr>
      <w:r w:rsidRPr="00A16C1F">
        <w:rPr>
          <w:szCs w:val="22"/>
          <w:lang w:eastAsia="fr-FR"/>
        </w:rPr>
        <w:t>Le plan de formation peut comporter deux types d’actions :</w:t>
      </w:r>
    </w:p>
    <w:p w:rsidR="004C4827" w:rsidRPr="00A9211B" w:rsidRDefault="004C4827" w:rsidP="005F1EAC">
      <w:pPr>
        <w:pStyle w:val="Paragraphedeliste"/>
        <w:numPr>
          <w:ilvl w:val="0"/>
          <w:numId w:val="16"/>
        </w:numPr>
        <w:spacing w:after="120"/>
        <w:ind w:left="1434" w:hanging="357"/>
        <w:contextualSpacing w:val="0"/>
        <w:rPr>
          <w:szCs w:val="22"/>
          <w:lang w:eastAsia="fr-FR"/>
        </w:rPr>
      </w:pPr>
      <w:r w:rsidRPr="00A9211B">
        <w:rPr>
          <w:szCs w:val="22"/>
          <w:lang w:eastAsia="fr-FR"/>
        </w:rPr>
        <w:t xml:space="preserve">« adaptation au poste de travail ou liées à l’évolution et au maintien dans l’emploi » ; </w:t>
      </w:r>
    </w:p>
    <w:p w:rsidR="004C4827" w:rsidRPr="00A9211B" w:rsidRDefault="004C4827" w:rsidP="005F1EAC">
      <w:pPr>
        <w:pStyle w:val="Paragraphedeliste"/>
        <w:numPr>
          <w:ilvl w:val="0"/>
          <w:numId w:val="16"/>
        </w:numPr>
        <w:spacing w:after="120"/>
        <w:ind w:left="1434" w:hanging="357"/>
        <w:contextualSpacing w:val="0"/>
        <w:rPr>
          <w:szCs w:val="22"/>
          <w:lang w:eastAsia="fr-FR"/>
        </w:rPr>
      </w:pPr>
      <w:r w:rsidRPr="00A9211B">
        <w:rPr>
          <w:szCs w:val="22"/>
          <w:lang w:eastAsia="fr-FR"/>
        </w:rPr>
        <w:t>« développement des compétences ».</w:t>
      </w:r>
    </w:p>
    <w:p w:rsidR="004C4827" w:rsidRDefault="004C4827" w:rsidP="004C4827">
      <w:pPr>
        <w:rPr>
          <w:szCs w:val="22"/>
          <w:lang w:eastAsia="fr-FR"/>
        </w:rPr>
      </w:pPr>
      <w:r>
        <w:rPr>
          <w:szCs w:val="22"/>
          <w:lang w:eastAsia="fr-FR"/>
        </w:rPr>
        <w:t xml:space="preserve">Les </w:t>
      </w:r>
      <w:r w:rsidRPr="0084785B">
        <w:rPr>
          <w:b/>
          <w:color w:val="92CDDC" w:themeColor="accent5" w:themeTint="99"/>
          <w:szCs w:val="22"/>
          <w:lang w:eastAsia="fr-FR"/>
        </w:rPr>
        <w:t>actions d'adaptation</w:t>
      </w:r>
      <w:r w:rsidRPr="0084785B">
        <w:rPr>
          <w:color w:val="92CDDC" w:themeColor="accent5" w:themeTint="99"/>
          <w:szCs w:val="22"/>
          <w:lang w:eastAsia="fr-FR"/>
        </w:rPr>
        <w:t xml:space="preserve"> </w:t>
      </w:r>
      <w:r w:rsidRPr="00A9211B">
        <w:rPr>
          <w:szCs w:val="22"/>
          <w:lang w:eastAsia="fr-FR"/>
        </w:rPr>
        <w:t>au poste de travail</w:t>
      </w:r>
      <w:r>
        <w:rPr>
          <w:szCs w:val="22"/>
          <w:lang w:eastAsia="fr-FR"/>
        </w:rPr>
        <w:t xml:space="preserve"> </w:t>
      </w:r>
      <w:r w:rsidRPr="00A9211B">
        <w:rPr>
          <w:szCs w:val="22"/>
          <w:lang w:eastAsia="fr-FR"/>
        </w:rPr>
        <w:t xml:space="preserve">sont celles qui ont pour objectif </w:t>
      </w:r>
      <w:r>
        <w:rPr>
          <w:szCs w:val="22"/>
          <w:lang w:eastAsia="fr-FR"/>
        </w:rPr>
        <w:t xml:space="preserve">de permettre au salarié de remplir les missions du poste pour lequel il a été engagé. </w:t>
      </w:r>
    </w:p>
    <w:p w:rsidR="004C4827" w:rsidRDefault="004C4827" w:rsidP="004C4827">
      <w:pPr>
        <w:rPr>
          <w:szCs w:val="22"/>
          <w:lang w:eastAsia="fr-FR"/>
        </w:rPr>
      </w:pPr>
      <w:r>
        <w:rPr>
          <w:szCs w:val="22"/>
          <w:lang w:eastAsia="fr-FR"/>
        </w:rPr>
        <w:t>L</w:t>
      </w:r>
      <w:r w:rsidRPr="00A9211B">
        <w:rPr>
          <w:szCs w:val="22"/>
          <w:lang w:eastAsia="fr-FR"/>
        </w:rPr>
        <w:t xml:space="preserve">es </w:t>
      </w:r>
      <w:r w:rsidRPr="0084785B">
        <w:rPr>
          <w:b/>
          <w:color w:val="92CDDC" w:themeColor="accent5" w:themeTint="99"/>
          <w:szCs w:val="22"/>
          <w:lang w:eastAsia="fr-FR"/>
        </w:rPr>
        <w:t>actions liées à l'évolution ou au maintien dans l'emploi</w:t>
      </w:r>
      <w:r w:rsidRPr="0084785B">
        <w:rPr>
          <w:color w:val="92CDDC" w:themeColor="accent5" w:themeTint="99"/>
          <w:szCs w:val="22"/>
          <w:lang w:eastAsia="fr-FR"/>
        </w:rPr>
        <w:t xml:space="preserve"> </w:t>
      </w:r>
      <w:r>
        <w:rPr>
          <w:szCs w:val="22"/>
          <w:lang w:eastAsia="fr-FR"/>
        </w:rPr>
        <w:t xml:space="preserve">sont celles qui permettent </w:t>
      </w:r>
      <w:r w:rsidRPr="00A9211B">
        <w:rPr>
          <w:szCs w:val="22"/>
          <w:lang w:eastAsia="fr-FR"/>
        </w:rPr>
        <w:t>d'apporter au salarié des compétences directement utilisables dans le cadre des fonctions qu'il occupe</w:t>
      </w:r>
      <w:r>
        <w:rPr>
          <w:szCs w:val="22"/>
          <w:lang w:eastAsia="fr-FR"/>
        </w:rPr>
        <w:t xml:space="preserve"> ou susceptibles d’occuper dans le cadre d’une évolution naturelle, prévisible ou prévue du poste </w:t>
      </w:r>
      <w:r w:rsidR="00091200" w:rsidRPr="0073599C">
        <w:rPr>
          <w:szCs w:val="22"/>
          <w:lang w:eastAsia="fr-FR"/>
        </w:rPr>
        <w:t xml:space="preserve">sans que </w:t>
      </w:r>
      <w:r w:rsidR="006B32F4" w:rsidRPr="0073599C">
        <w:rPr>
          <w:szCs w:val="22"/>
          <w:lang w:eastAsia="fr-FR"/>
        </w:rPr>
        <w:t xml:space="preserve">celle-ci </w:t>
      </w:r>
      <w:r w:rsidR="00091200" w:rsidRPr="0073599C">
        <w:rPr>
          <w:szCs w:val="22"/>
          <w:lang w:eastAsia="fr-FR"/>
        </w:rPr>
        <w:t>n’entraine de</w:t>
      </w:r>
      <w:r w:rsidR="00254EB5" w:rsidRPr="0073599C">
        <w:rPr>
          <w:szCs w:val="22"/>
          <w:lang w:eastAsia="fr-FR"/>
        </w:rPr>
        <w:t xml:space="preserve"> modification</w:t>
      </w:r>
      <w:r w:rsidRPr="0073599C">
        <w:rPr>
          <w:szCs w:val="22"/>
          <w:lang w:eastAsia="fr-FR"/>
        </w:rPr>
        <w:t xml:space="preserve"> </w:t>
      </w:r>
      <w:r>
        <w:rPr>
          <w:szCs w:val="22"/>
          <w:lang w:eastAsia="fr-FR"/>
        </w:rPr>
        <w:t xml:space="preserve">de la fiche de poste ou </w:t>
      </w:r>
      <w:r w:rsidRPr="00A9211B">
        <w:rPr>
          <w:szCs w:val="22"/>
          <w:lang w:eastAsia="fr-FR"/>
        </w:rPr>
        <w:t xml:space="preserve">du contrat de travail. </w:t>
      </w:r>
    </w:p>
    <w:p w:rsidR="004C4827" w:rsidRDefault="004C4827" w:rsidP="004C4827">
      <w:pPr>
        <w:rPr>
          <w:szCs w:val="22"/>
          <w:lang w:eastAsia="fr-FR"/>
        </w:rPr>
      </w:pPr>
      <w:r>
        <w:rPr>
          <w:szCs w:val="22"/>
          <w:lang w:eastAsia="fr-FR"/>
        </w:rPr>
        <w:t>L</w:t>
      </w:r>
      <w:r w:rsidRPr="00A9211B">
        <w:rPr>
          <w:szCs w:val="22"/>
          <w:lang w:eastAsia="fr-FR"/>
        </w:rPr>
        <w:t xml:space="preserve">es </w:t>
      </w:r>
      <w:r w:rsidRPr="0084785B">
        <w:rPr>
          <w:b/>
          <w:color w:val="92CDDC" w:themeColor="accent5" w:themeTint="99"/>
          <w:szCs w:val="22"/>
          <w:lang w:eastAsia="fr-FR"/>
        </w:rPr>
        <w:t xml:space="preserve">actions de développement des compétences </w:t>
      </w:r>
      <w:r w:rsidRPr="00A9211B">
        <w:rPr>
          <w:szCs w:val="22"/>
          <w:lang w:eastAsia="fr-FR"/>
        </w:rPr>
        <w:t xml:space="preserve">sont celles qui visent à faire acquérir au salarié des compétences qui vont au-delà de sa qualification professionnelle et qui nécessitent </w:t>
      </w:r>
      <w:r>
        <w:rPr>
          <w:szCs w:val="22"/>
          <w:lang w:eastAsia="fr-FR"/>
        </w:rPr>
        <w:t xml:space="preserve">un changement de poste et/ou de contrat de travail et/ou </w:t>
      </w:r>
      <w:r w:rsidRPr="00A9211B">
        <w:rPr>
          <w:szCs w:val="22"/>
          <w:lang w:eastAsia="fr-FR"/>
        </w:rPr>
        <w:t>une évolution de la qualification professionnelle (projet de promotion, mobilité professionnelle sans promotion, reclassement interne ou externe</w:t>
      </w:r>
      <w:r>
        <w:rPr>
          <w:szCs w:val="22"/>
          <w:lang w:eastAsia="fr-FR"/>
        </w:rPr>
        <w:t>, reconnaissance de compétences sans modification de poste</w:t>
      </w:r>
      <w:r w:rsidRPr="00A9211B">
        <w:rPr>
          <w:szCs w:val="22"/>
          <w:lang w:eastAsia="fr-FR"/>
        </w:rPr>
        <w:t xml:space="preserve">). </w:t>
      </w:r>
    </w:p>
    <w:p w:rsidR="00CB34DE" w:rsidRDefault="00CB34DE" w:rsidP="004C4827">
      <w:pPr>
        <w:rPr>
          <w:szCs w:val="22"/>
          <w:lang w:eastAsia="fr-FR"/>
        </w:rPr>
      </w:pPr>
      <w:r>
        <w:rPr>
          <w:szCs w:val="22"/>
          <w:lang w:eastAsia="fr-FR"/>
        </w:rPr>
        <w:t>Les signataires du présent accord rappellent la nécessité d’élaborer une fiche de poste constituant la référence pour appréhender le type d’action de formation envisagée. Cette fiche est actualisée si jamais la formation conduit à l’évolution du poste.</w:t>
      </w:r>
    </w:p>
    <w:p w:rsidR="004C4827" w:rsidRDefault="008A13C1" w:rsidP="00C17F13">
      <w:pPr>
        <w:pStyle w:val="Citationintense"/>
      </w:pPr>
      <w:bookmarkStart w:id="24" w:name="_Toc432788917"/>
      <w:r>
        <w:t xml:space="preserve">3.6 </w:t>
      </w:r>
      <w:r w:rsidR="004C4827">
        <w:t>Le Compte Personnel de Formation (CPF)</w:t>
      </w:r>
      <w:bookmarkEnd w:id="24"/>
    </w:p>
    <w:p w:rsidR="004C4827" w:rsidRDefault="006845A3" w:rsidP="004C4827">
      <w:pPr>
        <w:rPr>
          <w:rStyle w:val="lev"/>
          <w:b w:val="0"/>
          <w:szCs w:val="22"/>
        </w:rPr>
      </w:pPr>
      <w:r>
        <w:t>Un C</w:t>
      </w:r>
      <w:r w:rsidR="004C4827">
        <w:t xml:space="preserve">ompte Personnel de Formation est instauré par </w:t>
      </w:r>
      <w:r>
        <w:rPr>
          <w:szCs w:val="22"/>
          <w:lang w:eastAsia="fr-FR"/>
        </w:rPr>
        <w:t>la loi n°</w:t>
      </w:r>
      <w:r w:rsidR="004C4827" w:rsidRPr="000C2171">
        <w:rPr>
          <w:szCs w:val="22"/>
          <w:lang w:eastAsia="fr-FR"/>
        </w:rPr>
        <w:t xml:space="preserve">2014-288 du 5 mars 2014 </w:t>
      </w:r>
      <w:r w:rsidR="004C4827" w:rsidRPr="000C2171">
        <w:rPr>
          <w:rStyle w:val="lev"/>
          <w:b w:val="0"/>
          <w:szCs w:val="22"/>
        </w:rPr>
        <w:t>relative à la formation professionnelle, à l'emploi et à la démocratie sociale</w:t>
      </w:r>
      <w:r w:rsidR="004C4827">
        <w:rPr>
          <w:rStyle w:val="lev"/>
          <w:b w:val="0"/>
          <w:szCs w:val="22"/>
        </w:rPr>
        <w:t>.</w:t>
      </w:r>
    </w:p>
    <w:p w:rsidR="004C4827" w:rsidRDefault="004C4827" w:rsidP="004C4827">
      <w:r>
        <w:rPr>
          <w:rStyle w:val="lev"/>
          <w:b w:val="0"/>
          <w:szCs w:val="22"/>
        </w:rPr>
        <w:t xml:space="preserve">Les signataires du présent accord </w:t>
      </w:r>
      <w:r w:rsidR="00574547">
        <w:rPr>
          <w:rStyle w:val="lev"/>
          <w:b w:val="0"/>
          <w:szCs w:val="22"/>
        </w:rPr>
        <w:t xml:space="preserve">se réfèrent </w:t>
      </w:r>
      <w:r>
        <w:rPr>
          <w:rStyle w:val="lev"/>
          <w:b w:val="0"/>
          <w:szCs w:val="22"/>
        </w:rPr>
        <w:t>à la loi, pour les modalités suivantes : acquisition des droits, alimentation du compte, information</w:t>
      </w:r>
      <w:r w:rsidR="00574547">
        <w:rPr>
          <w:rStyle w:val="lev"/>
          <w:b w:val="0"/>
          <w:szCs w:val="22"/>
        </w:rPr>
        <w:t xml:space="preserve"> et</w:t>
      </w:r>
      <w:r>
        <w:rPr>
          <w:rStyle w:val="lev"/>
          <w:b w:val="0"/>
          <w:szCs w:val="22"/>
        </w:rPr>
        <w:t xml:space="preserve"> modalités de mobilisation.</w:t>
      </w:r>
    </w:p>
    <w:p w:rsidR="004C4827" w:rsidRDefault="008A13C1" w:rsidP="00C17F13">
      <w:pPr>
        <w:pStyle w:val="Titre1"/>
      </w:pPr>
      <w:bookmarkStart w:id="25" w:name="_Toc432788918"/>
      <w:r>
        <w:t>3.6.1</w:t>
      </w:r>
      <w:r w:rsidR="00CB34DE">
        <w:t xml:space="preserve"> </w:t>
      </w:r>
      <w:r w:rsidR="004C4827">
        <w:t>Solde des compteurs DIF au 31 décembre 2014</w:t>
      </w:r>
      <w:bookmarkEnd w:id="25"/>
    </w:p>
    <w:p w:rsidR="004C4827" w:rsidRPr="0078177F" w:rsidRDefault="004C4827" w:rsidP="004C4827">
      <w:pPr>
        <w:rPr>
          <w:rFonts w:cstheme="minorHAnsi"/>
          <w:szCs w:val="22"/>
        </w:rPr>
      </w:pPr>
      <w:r w:rsidRPr="0078177F">
        <w:rPr>
          <w:rFonts w:cstheme="minorHAnsi"/>
          <w:szCs w:val="22"/>
        </w:rPr>
        <w:t xml:space="preserve">A compter du 1 </w:t>
      </w:r>
      <w:r w:rsidRPr="008F4F9A">
        <w:rPr>
          <w:rFonts w:cstheme="minorHAnsi"/>
          <w:szCs w:val="22"/>
          <w:vertAlign w:val="superscript"/>
        </w:rPr>
        <w:t>er</w:t>
      </w:r>
      <w:r w:rsidRPr="0078177F">
        <w:rPr>
          <w:rFonts w:cstheme="minorHAnsi"/>
          <w:szCs w:val="22"/>
        </w:rPr>
        <w:t xml:space="preserve"> janvier 2015, le CPF remplace le DIF. </w:t>
      </w:r>
      <w:r w:rsidR="00091200">
        <w:rPr>
          <w:rFonts w:cstheme="minorHAnsi"/>
          <w:szCs w:val="22"/>
        </w:rPr>
        <w:t>L</w:t>
      </w:r>
      <w:r w:rsidRPr="0078177F">
        <w:rPr>
          <w:rFonts w:cstheme="minorHAnsi"/>
          <w:szCs w:val="22"/>
        </w:rPr>
        <w:t xml:space="preserve">es heures </w:t>
      </w:r>
      <w:r w:rsidR="00091200" w:rsidRPr="0078177F">
        <w:rPr>
          <w:rFonts w:cstheme="minorHAnsi"/>
          <w:szCs w:val="22"/>
        </w:rPr>
        <w:t xml:space="preserve">de DIF </w:t>
      </w:r>
      <w:r w:rsidR="00091200">
        <w:rPr>
          <w:rFonts w:cstheme="minorHAnsi"/>
          <w:szCs w:val="22"/>
        </w:rPr>
        <w:t xml:space="preserve">capitalisées </w:t>
      </w:r>
      <w:r w:rsidRPr="0078177F">
        <w:rPr>
          <w:rFonts w:cstheme="minorHAnsi"/>
          <w:szCs w:val="22"/>
        </w:rPr>
        <w:t xml:space="preserve">sont </w:t>
      </w:r>
      <w:r w:rsidR="00091200">
        <w:rPr>
          <w:rFonts w:cstheme="minorHAnsi"/>
          <w:szCs w:val="22"/>
        </w:rPr>
        <w:t xml:space="preserve">transférées sur le </w:t>
      </w:r>
      <w:r w:rsidRPr="0078177F">
        <w:rPr>
          <w:rFonts w:cstheme="minorHAnsi"/>
          <w:szCs w:val="22"/>
        </w:rPr>
        <w:t xml:space="preserve">CPF pendant une période transitoire de 6 ans, soit jusqu’au 31 décembre 2020. </w:t>
      </w:r>
    </w:p>
    <w:p w:rsidR="004C4827" w:rsidRPr="0078177F" w:rsidRDefault="004C4827" w:rsidP="004C4827">
      <w:pPr>
        <w:rPr>
          <w:rFonts w:cstheme="minorHAnsi"/>
          <w:szCs w:val="22"/>
        </w:rPr>
      </w:pPr>
      <w:r w:rsidRPr="0078177F">
        <w:rPr>
          <w:rFonts w:cstheme="minorHAnsi"/>
          <w:szCs w:val="22"/>
        </w:rPr>
        <w:t>Les heures créditées sur le CPF sont mobilisées en premier lieu lorsqu’un salarié effectue une formation dans le cadre du CPF.</w:t>
      </w:r>
    </w:p>
    <w:p w:rsidR="004C4827" w:rsidRPr="0078177F" w:rsidRDefault="004C4827" w:rsidP="004C4827">
      <w:pPr>
        <w:rPr>
          <w:rFonts w:cstheme="minorHAnsi"/>
          <w:szCs w:val="22"/>
        </w:rPr>
      </w:pPr>
      <w:r w:rsidRPr="0078177F">
        <w:rPr>
          <w:rFonts w:cstheme="minorHAnsi"/>
          <w:szCs w:val="22"/>
        </w:rPr>
        <w:t>Le solde de DIF peut être cumulé avec les heures créditées au titre du CPF</w:t>
      </w:r>
      <w:r w:rsidR="00A70A4F">
        <w:rPr>
          <w:rFonts w:cstheme="minorHAnsi"/>
          <w:szCs w:val="22"/>
        </w:rPr>
        <w:t xml:space="preserve"> </w:t>
      </w:r>
      <w:r w:rsidRPr="0078177F">
        <w:rPr>
          <w:rFonts w:cstheme="minorHAnsi"/>
          <w:szCs w:val="22"/>
        </w:rPr>
        <w:t>dans la limite de 150 heures dans le cadre d’une même demande.</w:t>
      </w:r>
    </w:p>
    <w:p w:rsidR="004C4827" w:rsidRDefault="008A13C1" w:rsidP="00C17F13">
      <w:pPr>
        <w:pStyle w:val="Titre1"/>
      </w:pPr>
      <w:bookmarkStart w:id="26" w:name="_Toc432788919"/>
      <w:r>
        <w:t>3.6.2</w:t>
      </w:r>
      <w:r w:rsidR="00CB34DE">
        <w:t xml:space="preserve"> </w:t>
      </w:r>
      <w:r w:rsidR="004C4827">
        <w:t>Alimentation du compte et calcul des droits au CPF</w:t>
      </w:r>
      <w:bookmarkEnd w:id="26"/>
    </w:p>
    <w:p w:rsidR="004C4827" w:rsidRDefault="004C4827" w:rsidP="004C4827">
      <w:r>
        <w:t>Les droits des salariés à temps partiel ou n’ayant pas effectué un travail à temps complet sur l’ensemble de l’année (notamment ceux arrivés ou partis en cours d’année), sont calculés au prorata du temps de travail effectué.</w:t>
      </w:r>
    </w:p>
    <w:p w:rsidR="004C4827" w:rsidRDefault="008A13C1" w:rsidP="00C17F13">
      <w:pPr>
        <w:pStyle w:val="Titre1"/>
      </w:pPr>
      <w:bookmarkStart w:id="27" w:name="_Toc432788920"/>
      <w:r>
        <w:t>3.6.3</w:t>
      </w:r>
      <w:r w:rsidR="00CB34DE">
        <w:t xml:space="preserve"> </w:t>
      </w:r>
      <w:r w:rsidR="004C4827">
        <w:t>Les formations éligibles au CPF</w:t>
      </w:r>
      <w:bookmarkEnd w:id="27"/>
    </w:p>
    <w:p w:rsidR="004C4827" w:rsidRDefault="004C4827" w:rsidP="004C4827">
      <w:r>
        <w:t xml:space="preserve">Le CPF peut être mobilisé pour suivre des formations relevant </w:t>
      </w:r>
      <w:r w:rsidR="00574547">
        <w:t xml:space="preserve">des listes établies par </w:t>
      </w:r>
      <w:r>
        <w:t>:</w:t>
      </w:r>
    </w:p>
    <w:p w:rsidR="004C4827" w:rsidRDefault="004C4827" w:rsidP="00DE6B67">
      <w:pPr>
        <w:pStyle w:val="Paragraphedeliste"/>
        <w:numPr>
          <w:ilvl w:val="0"/>
          <w:numId w:val="18"/>
        </w:numPr>
        <w:spacing w:after="120" w:line="276" w:lineRule="auto"/>
        <w:ind w:left="714" w:hanging="357"/>
        <w:contextualSpacing w:val="0"/>
      </w:pPr>
      <w:r>
        <w:t>l’Interbranches</w:t>
      </w:r>
      <w:r w:rsidR="00D20F24">
        <w:t xml:space="preserve"> : </w:t>
      </w:r>
      <w:r w:rsidRPr="007A7410">
        <w:rPr>
          <w:i/>
        </w:rPr>
        <w:t>CPN EEP Formation</w:t>
      </w:r>
      <w:r>
        <w:t xml:space="preserve"> ; </w:t>
      </w:r>
    </w:p>
    <w:p w:rsidR="004C4827" w:rsidRPr="002D39FB" w:rsidRDefault="00574547" w:rsidP="00DE6B67">
      <w:pPr>
        <w:pStyle w:val="Paragraphedeliste"/>
        <w:numPr>
          <w:ilvl w:val="0"/>
          <w:numId w:val="18"/>
        </w:numPr>
        <w:spacing w:after="120" w:line="276" w:lineRule="auto"/>
        <w:ind w:left="714" w:hanging="357"/>
        <w:contextualSpacing w:val="0"/>
      </w:pPr>
      <w:r>
        <w:t xml:space="preserve">l’Interprofession </w:t>
      </w:r>
      <w:r w:rsidR="00D20F24">
        <w:t xml:space="preserve">au niveau </w:t>
      </w:r>
      <w:r w:rsidR="004C4827">
        <w:t>régional</w:t>
      </w:r>
      <w:r w:rsidR="00D20F24">
        <w:t xml:space="preserve"> : </w:t>
      </w:r>
      <w:r w:rsidR="002D39FB" w:rsidRPr="002D39FB">
        <w:rPr>
          <w:bCs/>
        </w:rPr>
        <w:t>Comité paritaire interprofessionnel régional pour l'emploi et la formation</w:t>
      </w:r>
      <w:r w:rsidR="002D39FB" w:rsidRPr="002D39FB">
        <w:rPr>
          <w:rStyle w:val="apple-converted-space"/>
          <w:rFonts w:ascii="Arial" w:hAnsi="Arial" w:cs="Arial"/>
          <w:color w:val="000000"/>
          <w:sz w:val="23"/>
          <w:szCs w:val="23"/>
          <w:shd w:val="clear" w:color="auto" w:fill="FFFFFF"/>
        </w:rPr>
        <w:t> </w:t>
      </w:r>
      <w:r w:rsidR="002D39FB" w:rsidRPr="002D39FB">
        <w:t xml:space="preserve"> - </w:t>
      </w:r>
      <w:r w:rsidR="004C4827" w:rsidRPr="002D39FB">
        <w:t>COPAREF ;</w:t>
      </w:r>
    </w:p>
    <w:p w:rsidR="004C4827" w:rsidRDefault="00574547" w:rsidP="00DE6B67">
      <w:pPr>
        <w:pStyle w:val="Paragraphedeliste"/>
        <w:numPr>
          <w:ilvl w:val="0"/>
          <w:numId w:val="18"/>
        </w:numPr>
        <w:spacing w:after="120" w:line="276" w:lineRule="auto"/>
        <w:ind w:left="714" w:hanging="357"/>
        <w:contextualSpacing w:val="0"/>
      </w:pPr>
      <w:r>
        <w:t xml:space="preserve">l’Interprofession </w:t>
      </w:r>
      <w:r w:rsidR="00D20F24">
        <w:t xml:space="preserve">au niveau </w:t>
      </w:r>
      <w:r w:rsidR="004C4827">
        <w:t>national</w:t>
      </w:r>
      <w:r w:rsidR="00D20F24">
        <w:t xml:space="preserve"> : </w:t>
      </w:r>
      <w:r w:rsidR="002D39FB">
        <w:t>C</w:t>
      </w:r>
      <w:r w:rsidR="002D39FB" w:rsidRPr="002D39FB">
        <w:t>omité paritaire interprofessionnel national pour l'emploi et la formation</w:t>
      </w:r>
      <w:r w:rsidR="002D39FB">
        <w:t xml:space="preserve"> - </w:t>
      </w:r>
      <w:r w:rsidR="004C4827">
        <w:t xml:space="preserve">COPANEF). </w:t>
      </w:r>
    </w:p>
    <w:p w:rsidR="004C4827" w:rsidRDefault="004C4827" w:rsidP="004C4827">
      <w:pPr>
        <w:spacing w:after="120" w:line="276" w:lineRule="auto"/>
      </w:pPr>
      <w:r>
        <w:t xml:space="preserve">Les listes sont accessibles sur le site internet dédié : </w:t>
      </w:r>
      <w:hyperlink r:id="rId9" w:history="1">
        <w:r w:rsidRPr="0084785B">
          <w:rPr>
            <w:color w:val="92CDDC" w:themeColor="accent5" w:themeTint="99"/>
          </w:rPr>
          <w:t>www.moncompteformation.gouv.fr</w:t>
        </w:r>
      </w:hyperlink>
    </w:p>
    <w:p w:rsidR="004C4827" w:rsidRDefault="008A13C1" w:rsidP="00C17F13">
      <w:pPr>
        <w:pStyle w:val="Titre1"/>
      </w:pPr>
      <w:bookmarkStart w:id="28" w:name="_Toc432788921"/>
      <w:r>
        <w:t>3.6.4</w:t>
      </w:r>
      <w:r w:rsidR="00CB34DE">
        <w:t xml:space="preserve"> </w:t>
      </w:r>
      <w:r w:rsidR="004C4827">
        <w:t>Modalités de mobilisation du CPF</w:t>
      </w:r>
      <w:bookmarkEnd w:id="28"/>
    </w:p>
    <w:p w:rsidR="004C4827" w:rsidRDefault="004C4827" w:rsidP="004C4827">
      <w:r>
        <w:t xml:space="preserve">Le salarié est le seul à pouvoir mobiliser son CPF. </w:t>
      </w:r>
      <w:r w:rsidR="00574547">
        <w:t>En p</w:t>
      </w:r>
      <w:r>
        <w:t>renant l’initiative d’utiliser son CPF, il devient acteur de son parcours de formation.</w:t>
      </w:r>
    </w:p>
    <w:p w:rsidR="004C4827" w:rsidRDefault="004C4827" w:rsidP="00DE6B67">
      <w:pPr>
        <w:pStyle w:val="Paragraphedeliste"/>
        <w:numPr>
          <w:ilvl w:val="0"/>
          <w:numId w:val="6"/>
        </w:numPr>
        <w:spacing w:after="120" w:line="276" w:lineRule="auto"/>
        <w:ind w:left="714" w:hanging="357"/>
        <w:contextualSpacing w:val="0"/>
      </w:pPr>
      <w:r>
        <w:t xml:space="preserve">si la formation se déroule hors temps de travail : </w:t>
      </w:r>
      <w:r w:rsidR="00D20F24">
        <w:t>l’</w:t>
      </w:r>
      <w:r>
        <w:t xml:space="preserve">accord de l’employeur </w:t>
      </w:r>
      <w:r w:rsidR="00D20F24">
        <w:t xml:space="preserve">n’est pas nécessaire </w:t>
      </w:r>
      <w:r>
        <w:t>(sans allocation formation)</w:t>
      </w:r>
    </w:p>
    <w:p w:rsidR="004C4827" w:rsidRDefault="004C4827" w:rsidP="00DE6B67">
      <w:pPr>
        <w:pStyle w:val="Paragraphedeliste"/>
        <w:numPr>
          <w:ilvl w:val="0"/>
          <w:numId w:val="6"/>
        </w:numPr>
        <w:spacing w:after="120" w:line="276" w:lineRule="auto"/>
        <w:ind w:left="714" w:hanging="357"/>
        <w:contextualSpacing w:val="0"/>
      </w:pPr>
      <w:r>
        <w:t xml:space="preserve">si la formation se déroule sur temps de travail : </w:t>
      </w:r>
      <w:r w:rsidR="00D20F24">
        <w:t>l’</w:t>
      </w:r>
      <w:r>
        <w:t xml:space="preserve">accord préalable de l’employeur </w:t>
      </w:r>
      <w:r w:rsidR="00D20F24">
        <w:t xml:space="preserve">est nécessaire </w:t>
      </w:r>
      <w:r>
        <w:t>(contenu et calendrier), la rémunération est maintenue.</w:t>
      </w:r>
    </w:p>
    <w:p w:rsidR="004C4827" w:rsidRDefault="008A13C1" w:rsidP="00C17F13">
      <w:pPr>
        <w:pStyle w:val="Titre1"/>
      </w:pPr>
      <w:bookmarkStart w:id="29" w:name="_Toc432788922"/>
      <w:r>
        <w:t>3.6.5</w:t>
      </w:r>
      <w:r w:rsidR="00CB34DE">
        <w:t xml:space="preserve"> </w:t>
      </w:r>
      <w:r w:rsidR="004C4827">
        <w:t>Financement des actions de formation engagées au titre du CPF et articulation avec les autres dispositifs de la FPC</w:t>
      </w:r>
      <w:bookmarkEnd w:id="29"/>
    </w:p>
    <w:p w:rsidR="004C4827" w:rsidRPr="00BE7DB2" w:rsidRDefault="004C4827" w:rsidP="004C4827">
      <w:r w:rsidRPr="00BE7DB2">
        <w:t xml:space="preserve">Le financement du CPF intervient sur une ligne budgétaire dédiée. Le CPF est financé sur l’agrément prévu par la loi. </w:t>
      </w:r>
    </w:p>
    <w:p w:rsidR="004C4827" w:rsidRDefault="004C4827" w:rsidP="004C4827">
      <w:r>
        <w:t>Le CPF peut être mobilisé en complément :</w:t>
      </w:r>
    </w:p>
    <w:p w:rsidR="004C4827" w:rsidRDefault="004C4827" w:rsidP="00DE6B67">
      <w:pPr>
        <w:pStyle w:val="Paragraphedeliste"/>
        <w:numPr>
          <w:ilvl w:val="0"/>
          <w:numId w:val="7"/>
        </w:numPr>
        <w:spacing w:after="120" w:line="276" w:lineRule="auto"/>
        <w:ind w:left="714" w:hanging="357"/>
        <w:contextualSpacing w:val="0"/>
      </w:pPr>
      <w:r>
        <w:t>d’une action de formation inscrite sur le plan de formation ;</w:t>
      </w:r>
    </w:p>
    <w:p w:rsidR="004C4827" w:rsidRDefault="004C4827" w:rsidP="00DE6B67">
      <w:pPr>
        <w:pStyle w:val="Paragraphedeliste"/>
        <w:numPr>
          <w:ilvl w:val="0"/>
          <w:numId w:val="7"/>
        </w:numPr>
        <w:spacing w:after="120" w:line="276" w:lineRule="auto"/>
        <w:ind w:left="714" w:hanging="357"/>
        <w:contextualSpacing w:val="0"/>
      </w:pPr>
      <w:r>
        <w:t>d’un Congé Individuel de Formation (CIF) selon les règles définies par le FPSPP ;</w:t>
      </w:r>
    </w:p>
    <w:p w:rsidR="004C4827" w:rsidRDefault="004C4827" w:rsidP="00DE6B67">
      <w:pPr>
        <w:pStyle w:val="Paragraphedeliste"/>
        <w:numPr>
          <w:ilvl w:val="0"/>
          <w:numId w:val="7"/>
        </w:numPr>
        <w:spacing w:after="120" w:line="276" w:lineRule="auto"/>
        <w:ind w:left="714" w:hanging="357"/>
        <w:contextualSpacing w:val="0"/>
      </w:pPr>
      <w:r>
        <w:t>d’une action suivie dans le cadre de la Période de professionnalisation.</w:t>
      </w:r>
    </w:p>
    <w:p w:rsidR="004C4827" w:rsidRDefault="008A13C1" w:rsidP="00C17F13">
      <w:pPr>
        <w:pStyle w:val="Citationintense"/>
      </w:pPr>
      <w:bookmarkStart w:id="30" w:name="_Toc432788923"/>
      <w:r>
        <w:t xml:space="preserve">3.7 </w:t>
      </w:r>
      <w:r w:rsidR="004C4827">
        <w:t>La période de professionnalisation</w:t>
      </w:r>
      <w:bookmarkEnd w:id="30"/>
    </w:p>
    <w:p w:rsidR="004C4827" w:rsidRPr="00FF0E70" w:rsidRDefault="004C4827" w:rsidP="004C4827">
      <w:r w:rsidRPr="00FF0E70">
        <w:t>La loi n°2014-288 du 5 mars 2014 relative à la formation professionnelle, à l'emploi et à l</w:t>
      </w:r>
      <w:r>
        <w:t>a démocratie sociale, modifie les</w:t>
      </w:r>
      <w:r w:rsidR="006845A3">
        <w:t xml:space="preserve"> modalités de mise en œuvre de la p</w:t>
      </w:r>
      <w:r>
        <w:t>ériode de professionnalisation, élargit les publics prioritaires et modifie la durée.</w:t>
      </w:r>
      <w:r w:rsidR="008A13C1">
        <w:t xml:space="preserve"> </w:t>
      </w:r>
      <w:r w:rsidRPr="00FF0E70">
        <w:t>Les signataires du présent accord s</w:t>
      </w:r>
      <w:r w:rsidR="00574547">
        <w:t xml:space="preserve">e réfèrent </w:t>
      </w:r>
      <w:r w:rsidR="003570EF">
        <w:t>au cadre défini</w:t>
      </w:r>
      <w:r>
        <w:t xml:space="preserve"> par </w:t>
      </w:r>
      <w:r w:rsidRPr="00FF0E70">
        <w:t>la loi</w:t>
      </w:r>
      <w:r>
        <w:t>.</w:t>
      </w:r>
    </w:p>
    <w:p w:rsidR="004C4827" w:rsidRPr="00FF0E70" w:rsidRDefault="004C4827" w:rsidP="004C4827">
      <w:r w:rsidRPr="00FF0E70">
        <w:t xml:space="preserve">La période de professionnalisation peut abonder le CPF des salariés. Elle peut également s’articuler avec les actions de Validation des </w:t>
      </w:r>
      <w:r w:rsidR="002D39FB">
        <w:t>A</w:t>
      </w:r>
      <w:r w:rsidRPr="00FF0E70">
        <w:t>cquis de l’</w:t>
      </w:r>
      <w:r w:rsidR="002D39FB">
        <w:t>E</w:t>
      </w:r>
      <w:r w:rsidRPr="00FF0E70">
        <w:t>xpérience (VAE).</w:t>
      </w:r>
    </w:p>
    <w:p w:rsidR="004C4827" w:rsidRPr="00FF0E70" w:rsidRDefault="004C4827" w:rsidP="004C4827">
      <w:r w:rsidRPr="001B151A">
        <w:t xml:space="preserve">Le décret </w:t>
      </w:r>
      <w:r w:rsidR="001B151A" w:rsidRPr="00EC44AE">
        <w:t>n°</w:t>
      </w:r>
      <w:r w:rsidR="001B151A" w:rsidRPr="00DE6B67">
        <w:t xml:space="preserve">2014-969 </w:t>
      </w:r>
      <w:r w:rsidRPr="001B151A">
        <w:t xml:space="preserve">du 22 août 2014 fixe à 70 heures la durée minimum </w:t>
      </w:r>
      <w:r w:rsidR="005F35F2" w:rsidRPr="00EC44AE">
        <w:t>réparties sur une période</w:t>
      </w:r>
      <w:r w:rsidR="005F35F2">
        <w:t xml:space="preserve"> maximale de 12 mois calendaires </w:t>
      </w:r>
      <w:r w:rsidRPr="00FF0E70">
        <w:t>et encadre l’obligation de désigner un tuteur.</w:t>
      </w:r>
    </w:p>
    <w:p w:rsidR="004C4827" w:rsidRPr="00FF0E70" w:rsidRDefault="004C4827" w:rsidP="004C4827">
      <w:r w:rsidRPr="00FF0E70">
        <w:t xml:space="preserve">La </w:t>
      </w:r>
      <w:r w:rsidRPr="00BB725E">
        <w:rPr>
          <w:i/>
        </w:rPr>
        <w:t>CPN EEP Formation</w:t>
      </w:r>
      <w:r>
        <w:t xml:space="preserve"> détermine les publics prioritaires et l</w:t>
      </w:r>
      <w:r w:rsidRPr="00FF0E70">
        <w:t>es financements prioritaires</w:t>
      </w:r>
      <w:r w:rsidR="00574547">
        <w:t xml:space="preserve">. Ces </w:t>
      </w:r>
      <w:r w:rsidRPr="00FF0E70">
        <w:t xml:space="preserve">dispositions </w:t>
      </w:r>
      <w:r>
        <w:t>spécifiques sont</w:t>
      </w:r>
      <w:r w:rsidRPr="00FF0E70">
        <w:t xml:space="preserve"> communiqu</w:t>
      </w:r>
      <w:r>
        <w:t>ées à</w:t>
      </w:r>
      <w:r w:rsidRPr="00FF0E70">
        <w:t xml:space="preserve"> la Section </w:t>
      </w:r>
      <w:r>
        <w:t>P</w:t>
      </w:r>
      <w:r w:rsidRPr="00FF0E70">
        <w:t>aritaire</w:t>
      </w:r>
      <w:r>
        <w:t xml:space="preserve"> P</w:t>
      </w:r>
      <w:r w:rsidRPr="00FF0E70">
        <w:t>rofessionnelle</w:t>
      </w:r>
      <w:r>
        <w:t xml:space="preserve"> au sein de l’OPCA désigné</w:t>
      </w:r>
      <w:r w:rsidRPr="00FF0E70">
        <w:t>.</w:t>
      </w:r>
    </w:p>
    <w:p w:rsidR="004C4827" w:rsidRDefault="008A13C1" w:rsidP="00C17F13">
      <w:pPr>
        <w:pStyle w:val="Citationintense"/>
      </w:pPr>
      <w:bookmarkStart w:id="31" w:name="_Toc432788924"/>
      <w:r>
        <w:t xml:space="preserve">3.8 </w:t>
      </w:r>
      <w:r w:rsidR="004C4827">
        <w:t>Le contrat de professionnalisation</w:t>
      </w:r>
      <w:bookmarkEnd w:id="31"/>
    </w:p>
    <w:p w:rsidR="004C4827" w:rsidRDefault="004C4827" w:rsidP="004C4827">
      <w:r>
        <w:t>Les signataires s’accordent sur l’intérêt de favoriser la mise en œuvre des</w:t>
      </w:r>
      <w:r w:rsidRPr="005C6AF3">
        <w:t xml:space="preserve"> contrats de professionnalisation comme levier d</w:t>
      </w:r>
      <w:r>
        <w:t>u</w:t>
      </w:r>
      <w:r w:rsidRPr="005C6AF3">
        <w:t xml:space="preserve"> développement des compétences et l’accès à l’emploi dans </w:t>
      </w:r>
      <w:r w:rsidR="008A4E81">
        <w:t>l’Interbranches</w:t>
      </w:r>
      <w:r>
        <w:t>.</w:t>
      </w:r>
    </w:p>
    <w:p w:rsidR="004C4827" w:rsidRDefault="004C4827" w:rsidP="004C4827">
      <w:r>
        <w:t xml:space="preserve">Le contrat de travail assorti d’une formation en alternance qui permet d’embaucher : </w:t>
      </w:r>
    </w:p>
    <w:p w:rsidR="004C4827" w:rsidRDefault="004C4827" w:rsidP="00DE6B67">
      <w:pPr>
        <w:pStyle w:val="Paragraphedeliste"/>
        <w:numPr>
          <w:ilvl w:val="0"/>
          <w:numId w:val="8"/>
        </w:numPr>
        <w:spacing w:after="120"/>
        <w:ind w:left="714" w:hanging="357"/>
        <w:contextualSpacing w:val="0"/>
      </w:pPr>
      <w:r>
        <w:t>un jeune de 16 à 25 ans</w:t>
      </w:r>
      <w:r w:rsidR="00574547">
        <w:t xml:space="preserve">, </w:t>
      </w:r>
      <w:r>
        <w:t>notamment après une mission de Service Civique ;</w:t>
      </w:r>
    </w:p>
    <w:p w:rsidR="004C4827" w:rsidRDefault="004C4827" w:rsidP="00DE6B67">
      <w:pPr>
        <w:pStyle w:val="Paragraphedeliste"/>
        <w:numPr>
          <w:ilvl w:val="0"/>
          <w:numId w:val="8"/>
        </w:numPr>
        <w:spacing w:after="120"/>
        <w:ind w:left="714" w:hanging="357"/>
        <w:contextualSpacing w:val="0"/>
      </w:pPr>
      <w:r>
        <w:t>un demandeur d’emploi de 26 ans et plus ;</w:t>
      </w:r>
    </w:p>
    <w:p w:rsidR="004C4827" w:rsidRDefault="004C4827" w:rsidP="00DE6B67">
      <w:pPr>
        <w:pStyle w:val="Paragraphedeliste"/>
        <w:numPr>
          <w:ilvl w:val="0"/>
          <w:numId w:val="8"/>
        </w:numPr>
        <w:spacing w:after="120"/>
        <w:ind w:left="714" w:hanging="357"/>
        <w:contextualSpacing w:val="0"/>
      </w:pPr>
      <w:r>
        <w:t>un bénéficiaire de minima sociaux ;</w:t>
      </w:r>
    </w:p>
    <w:p w:rsidR="004C4827" w:rsidRDefault="004C4827" w:rsidP="00DE6B67">
      <w:pPr>
        <w:pStyle w:val="Paragraphedeliste"/>
        <w:numPr>
          <w:ilvl w:val="0"/>
          <w:numId w:val="8"/>
        </w:numPr>
        <w:spacing w:after="120"/>
        <w:ind w:left="714" w:hanging="357"/>
        <w:contextualSpacing w:val="0"/>
      </w:pPr>
      <w:r>
        <w:t>ou une</w:t>
      </w:r>
      <w:r w:rsidR="006845A3">
        <w:t xml:space="preserve"> personne sortant d’un Contrat Unique d’I</w:t>
      </w:r>
      <w:r>
        <w:t>nsertion (CUI).</w:t>
      </w:r>
    </w:p>
    <w:p w:rsidR="004C4827" w:rsidRDefault="004C4827" w:rsidP="004C4827">
      <w:r>
        <w:t xml:space="preserve">Il est conclu pour une durée indéterminée (CDI) ou déterminée (CDD) de 6 à 12 mois, voire jusqu’à 24 mois pour certains bénéficiaires ou selon la qualification préparée. </w:t>
      </w:r>
    </w:p>
    <w:p w:rsidR="004C4827" w:rsidRDefault="004C4827" w:rsidP="004C4827">
      <w:r>
        <w:t>Le contrat proposé doit permettre à son bénéficiaire d’obtenir une qualification reconnue :</w:t>
      </w:r>
    </w:p>
    <w:p w:rsidR="004C4827" w:rsidRDefault="004C4827" w:rsidP="00DE6B67">
      <w:pPr>
        <w:pStyle w:val="Paragraphedeliste"/>
        <w:numPr>
          <w:ilvl w:val="0"/>
          <w:numId w:val="9"/>
        </w:numPr>
        <w:spacing w:after="120"/>
        <w:ind w:left="714" w:hanging="357"/>
        <w:contextualSpacing w:val="0"/>
      </w:pPr>
      <w:r>
        <w:t>enregistrée dans</w:t>
      </w:r>
      <w:r w:rsidR="006845A3">
        <w:t xml:space="preserve"> le Répertoire N</w:t>
      </w:r>
      <w:r>
        <w:t xml:space="preserve">ational des </w:t>
      </w:r>
      <w:r w:rsidR="006845A3">
        <w:t>C</w:t>
      </w:r>
      <w:r>
        <w:t xml:space="preserve">ertifications </w:t>
      </w:r>
      <w:r w:rsidR="006845A3">
        <w:t>P</w:t>
      </w:r>
      <w:r>
        <w:t>rofessionnelles (RNCP) ;</w:t>
      </w:r>
    </w:p>
    <w:p w:rsidR="004C4827" w:rsidRDefault="004C4827" w:rsidP="00DE6B67">
      <w:pPr>
        <w:pStyle w:val="Paragraphedeliste"/>
        <w:numPr>
          <w:ilvl w:val="0"/>
          <w:numId w:val="9"/>
        </w:numPr>
        <w:spacing w:after="120"/>
        <w:ind w:left="714" w:hanging="357"/>
        <w:contextualSpacing w:val="0"/>
      </w:pPr>
      <w:r>
        <w:t xml:space="preserve">reconnue dans les classifications d’une Convention </w:t>
      </w:r>
      <w:r w:rsidR="006845A3">
        <w:t>C</w:t>
      </w:r>
      <w:r>
        <w:t xml:space="preserve">ollective </w:t>
      </w:r>
      <w:r w:rsidR="006845A3">
        <w:t>N</w:t>
      </w:r>
      <w:r>
        <w:t>ationale (CCN) de Branche ;</w:t>
      </w:r>
    </w:p>
    <w:p w:rsidR="004C4827" w:rsidRDefault="004C4827" w:rsidP="00DE6B67">
      <w:pPr>
        <w:pStyle w:val="Paragraphedeliste"/>
        <w:numPr>
          <w:ilvl w:val="0"/>
          <w:numId w:val="9"/>
        </w:numPr>
        <w:spacing w:after="120"/>
        <w:ind w:left="714" w:hanging="357"/>
        <w:contextualSpacing w:val="0"/>
      </w:pPr>
      <w:r>
        <w:t>ou</w:t>
      </w:r>
      <w:r w:rsidR="006845A3">
        <w:t>vrant droit à un Certificat de Q</w:t>
      </w:r>
      <w:r>
        <w:t xml:space="preserve">ualification </w:t>
      </w:r>
      <w:r w:rsidR="006845A3">
        <w:t>P</w:t>
      </w:r>
      <w:r>
        <w:t xml:space="preserve">rofessionnelle </w:t>
      </w:r>
      <w:r w:rsidR="006845A3">
        <w:t xml:space="preserve">ou Certificat de Qualification Professionnelle Interbranches </w:t>
      </w:r>
      <w:r>
        <w:t>(CQP ou CQPI).</w:t>
      </w:r>
    </w:p>
    <w:p w:rsidR="004C4827" w:rsidRDefault="004C4827" w:rsidP="004C4827">
      <w:r>
        <w:t>La durée de la formation varie selon la qualification préparée : entre 15 % et 25 % de la durée totale du contrat de professionnalisation (ou de l’action de professionnalisation pour les CDI) avec un minimum de 150 heures.</w:t>
      </w:r>
    </w:p>
    <w:p w:rsidR="004C4827" w:rsidRDefault="004C4827" w:rsidP="004C4827">
      <w:r>
        <w:t>Un tuteur est nommé pour accueillir, guider et accompagner le bénéficiaire du contrat</w:t>
      </w:r>
      <w:r w:rsidR="008A4E81">
        <w:t xml:space="preserve"> ; </w:t>
      </w:r>
      <w:r>
        <w:t xml:space="preserve">le tuteur est volontaire et doit justifier d’une expérience d’au moins </w:t>
      </w:r>
      <w:r w:rsidR="001D7870">
        <w:t>2</w:t>
      </w:r>
      <w:r>
        <w:t xml:space="preserve"> ans en rapport avec la qualification préparée. </w:t>
      </w:r>
    </w:p>
    <w:p w:rsidR="004C4827" w:rsidRDefault="004C4827" w:rsidP="004C4827">
      <w:r w:rsidRPr="00FE0954">
        <w:t xml:space="preserve">La </w:t>
      </w:r>
      <w:r w:rsidRPr="00BB725E">
        <w:rPr>
          <w:i/>
        </w:rPr>
        <w:t>CPN EEP Formation</w:t>
      </w:r>
      <w:r w:rsidRPr="00FE0954">
        <w:t xml:space="preserve"> peut déterminer des publics prioritaires ou des financements prioritaires</w:t>
      </w:r>
      <w:r w:rsidR="00574547">
        <w:t xml:space="preserve">. Ces </w:t>
      </w:r>
      <w:r w:rsidRPr="00FE0954">
        <w:t xml:space="preserve">dispositions spécifiques </w:t>
      </w:r>
      <w:r w:rsidR="006845A3">
        <w:t xml:space="preserve">seront </w:t>
      </w:r>
      <w:r w:rsidR="00574547">
        <w:t>communiquées</w:t>
      </w:r>
      <w:r w:rsidR="001D7870">
        <w:t xml:space="preserve"> à </w:t>
      </w:r>
      <w:r w:rsidRPr="00FE0954">
        <w:t>la S</w:t>
      </w:r>
      <w:r w:rsidR="001D7870">
        <w:t>PP</w:t>
      </w:r>
      <w:r w:rsidRPr="00FE0954">
        <w:t>.</w:t>
      </w:r>
    </w:p>
    <w:p w:rsidR="004C4827" w:rsidRDefault="008A13C1" w:rsidP="00C17F13">
      <w:pPr>
        <w:pStyle w:val="Citationintense"/>
      </w:pPr>
      <w:bookmarkStart w:id="32" w:name="_Toc432788925"/>
      <w:r>
        <w:t xml:space="preserve">3.9 </w:t>
      </w:r>
      <w:r w:rsidR="004C4827">
        <w:t>Le Congé Individuel de Formation (CIF)</w:t>
      </w:r>
      <w:bookmarkEnd w:id="32"/>
    </w:p>
    <w:p w:rsidR="004C4827" w:rsidRDefault="001D7870" w:rsidP="004C4827">
      <w:r>
        <w:t>Le C</w:t>
      </w:r>
      <w:r w:rsidR="004C4827">
        <w:t xml:space="preserve">ongé </w:t>
      </w:r>
      <w:r>
        <w:t>I</w:t>
      </w:r>
      <w:r w:rsidR="004C4827">
        <w:t xml:space="preserve">ndividuel de </w:t>
      </w:r>
      <w:r>
        <w:t>F</w:t>
      </w:r>
      <w:r w:rsidR="004C4827">
        <w:t>ormation</w:t>
      </w:r>
      <w:r w:rsidR="00734D42">
        <w:t xml:space="preserve"> (CIF)</w:t>
      </w:r>
      <w:r w:rsidR="004C4827">
        <w:t xml:space="preserve"> a pour objet de permettre à tout salarié, quelle que soit l’entreprise dans laquelle il exerce son activité</w:t>
      </w:r>
      <w:r w:rsidR="00574547">
        <w:t xml:space="preserve"> </w:t>
      </w:r>
      <w:r w:rsidR="004C4827">
        <w:t>au cours de sa vie professionnelle, de suivre à son initiative et à titre individuel, des actions de formation de son choix indépendamment de sa participation aux actions comprises dans le plan de formation de l’entreprise ou des périodes de professionnalisation.</w:t>
      </w:r>
      <w:r w:rsidR="008A13C1">
        <w:t xml:space="preserve"> </w:t>
      </w:r>
      <w:r w:rsidR="004C4827">
        <w:t>Chaque salarié qui souhaite élaborer un projet professionnel individuel peut bénéficier de l'aide de l’OPACIF dont il relève.</w:t>
      </w:r>
    </w:p>
    <w:p w:rsidR="001F3C6E" w:rsidRPr="001F3C6E" w:rsidRDefault="001F3C6E" w:rsidP="00C17F13">
      <w:pPr>
        <w:pStyle w:val="Style8"/>
      </w:pPr>
      <w:bookmarkStart w:id="33" w:name="_Toc432788926"/>
      <w:r w:rsidRPr="001F3C6E">
        <w:t>Section 3</w:t>
      </w:r>
      <w:r w:rsidR="008659D0">
        <w:t> :</w:t>
      </w:r>
      <w:r w:rsidRPr="001F3C6E">
        <w:t xml:space="preserve"> Les Institutions Représentatives du Personnel</w:t>
      </w:r>
      <w:bookmarkEnd w:id="33"/>
      <w:r w:rsidRPr="001F3C6E">
        <w:t xml:space="preserve"> </w:t>
      </w:r>
    </w:p>
    <w:p w:rsidR="004C4827" w:rsidRPr="0007492A" w:rsidRDefault="001F3C6E" w:rsidP="003A1C38">
      <w:r w:rsidRPr="0007492A">
        <w:t>S’agissant du rôle et missions des Institutions Représentatives du Personnel</w:t>
      </w:r>
      <w:r w:rsidR="00361352" w:rsidRPr="0007492A">
        <w:t>,</w:t>
      </w:r>
      <w:r w:rsidRPr="0007492A">
        <w:t xml:space="preserve"> </w:t>
      </w:r>
      <w:r w:rsidR="00B54E61" w:rsidRPr="0007492A">
        <w:t xml:space="preserve">les signataires </w:t>
      </w:r>
      <w:r w:rsidRPr="0007492A">
        <w:t>s</w:t>
      </w:r>
      <w:r w:rsidR="00574547">
        <w:t xml:space="preserve">e réfèrent </w:t>
      </w:r>
      <w:r w:rsidRPr="0007492A">
        <w:t>à la loi.</w:t>
      </w:r>
    </w:p>
    <w:p w:rsidR="006D470A" w:rsidRPr="005047BB" w:rsidRDefault="007B1009" w:rsidP="006D470A">
      <w:pPr>
        <w:pStyle w:val="NormalWeb"/>
        <w:shd w:val="clear" w:color="auto" w:fill="FFFFFF"/>
        <w:spacing w:before="180" w:beforeAutospacing="0" w:after="180" w:afterAutospacing="0" w:line="320" w:lineRule="atLeast"/>
        <w:jc w:val="both"/>
        <w:rPr>
          <w:rFonts w:asciiTheme="minorHAnsi" w:hAnsiTheme="minorHAnsi" w:cstheme="minorHAnsi"/>
          <w:sz w:val="22"/>
          <w:szCs w:val="22"/>
        </w:rPr>
      </w:pPr>
      <w:r w:rsidRPr="005047BB">
        <w:rPr>
          <w:rFonts w:asciiTheme="minorHAnsi" w:hAnsiTheme="minorHAnsi" w:cstheme="minorHAnsi"/>
          <w:sz w:val="22"/>
          <w:szCs w:val="22"/>
        </w:rPr>
        <w:t xml:space="preserve">Les organisations </w:t>
      </w:r>
      <w:r w:rsidR="00F00E80" w:rsidRPr="005047BB">
        <w:rPr>
          <w:rFonts w:asciiTheme="minorHAnsi" w:hAnsiTheme="minorHAnsi" w:cstheme="minorHAnsi"/>
          <w:sz w:val="22"/>
          <w:szCs w:val="22"/>
        </w:rPr>
        <w:t>signataires</w:t>
      </w:r>
      <w:r w:rsidRPr="005047BB">
        <w:rPr>
          <w:rFonts w:asciiTheme="minorHAnsi" w:hAnsiTheme="minorHAnsi" w:cstheme="minorHAnsi"/>
          <w:sz w:val="22"/>
          <w:szCs w:val="22"/>
        </w:rPr>
        <w:t xml:space="preserve"> rappellent que sur la base d</w:t>
      </w:r>
      <w:r w:rsidR="00AC72DC" w:rsidRPr="005047BB">
        <w:rPr>
          <w:rFonts w:asciiTheme="minorHAnsi" w:hAnsiTheme="minorHAnsi" w:cstheme="minorHAnsi"/>
          <w:sz w:val="22"/>
          <w:szCs w:val="22"/>
        </w:rPr>
        <w:t>’information</w:t>
      </w:r>
      <w:r w:rsidR="00F00E80" w:rsidRPr="005047BB">
        <w:rPr>
          <w:rFonts w:asciiTheme="minorHAnsi" w:hAnsiTheme="minorHAnsi" w:cstheme="minorHAnsi"/>
          <w:sz w:val="22"/>
          <w:szCs w:val="22"/>
        </w:rPr>
        <w:t>s</w:t>
      </w:r>
      <w:r w:rsidR="00AC72DC" w:rsidRPr="005047BB">
        <w:rPr>
          <w:rFonts w:asciiTheme="minorHAnsi" w:hAnsiTheme="minorHAnsi" w:cstheme="minorHAnsi"/>
          <w:sz w:val="22"/>
          <w:szCs w:val="22"/>
        </w:rPr>
        <w:t xml:space="preserve"> précises </w:t>
      </w:r>
      <w:r w:rsidRPr="005047BB">
        <w:rPr>
          <w:rFonts w:asciiTheme="minorHAnsi" w:hAnsiTheme="minorHAnsi" w:cstheme="minorHAnsi"/>
          <w:sz w:val="22"/>
          <w:szCs w:val="22"/>
        </w:rPr>
        <w:t>délivrées</w:t>
      </w:r>
      <w:r w:rsidR="006D470A" w:rsidRPr="005047BB">
        <w:rPr>
          <w:rFonts w:asciiTheme="minorHAnsi" w:hAnsiTheme="minorHAnsi" w:cstheme="minorHAnsi"/>
          <w:sz w:val="22"/>
          <w:szCs w:val="22"/>
        </w:rPr>
        <w:t xml:space="preserve"> </w:t>
      </w:r>
      <w:r w:rsidR="00F00E80" w:rsidRPr="005047BB">
        <w:rPr>
          <w:rFonts w:asciiTheme="minorHAnsi" w:hAnsiTheme="minorHAnsi" w:cstheme="minorHAnsi"/>
          <w:sz w:val="22"/>
          <w:szCs w:val="22"/>
        </w:rPr>
        <w:t>par l’employeur</w:t>
      </w:r>
      <w:r w:rsidR="00F00E80" w:rsidRPr="005047BB">
        <w:rPr>
          <w:rStyle w:val="Appelnotedebasdep"/>
          <w:rFonts w:asciiTheme="minorHAnsi" w:hAnsiTheme="minorHAnsi" w:cstheme="minorHAnsi"/>
          <w:sz w:val="22"/>
          <w:szCs w:val="22"/>
        </w:rPr>
        <w:footnoteReference w:id="1"/>
      </w:r>
      <w:r w:rsidR="00F00E80" w:rsidRPr="005047BB">
        <w:rPr>
          <w:rFonts w:asciiTheme="minorHAnsi" w:hAnsiTheme="minorHAnsi" w:cstheme="minorHAnsi"/>
          <w:sz w:val="22"/>
          <w:szCs w:val="22"/>
        </w:rPr>
        <w:t xml:space="preserve"> </w:t>
      </w:r>
      <w:r w:rsidR="006D470A" w:rsidRPr="005047BB">
        <w:rPr>
          <w:rFonts w:asciiTheme="minorHAnsi" w:hAnsiTheme="minorHAnsi" w:cstheme="minorHAnsi"/>
          <w:sz w:val="22"/>
          <w:szCs w:val="22"/>
        </w:rPr>
        <w:t>le comité d’entreprise est consulté chaque année conformément aux dispositions du Code du travail</w:t>
      </w:r>
      <w:r w:rsidR="00CA10C4">
        <w:rPr>
          <w:rStyle w:val="Appelnotedebasdep"/>
          <w:rFonts w:asciiTheme="minorHAnsi" w:hAnsiTheme="minorHAnsi" w:cstheme="minorHAnsi"/>
          <w:sz w:val="22"/>
          <w:szCs w:val="22"/>
        </w:rPr>
        <w:footnoteReference w:id="2"/>
      </w:r>
      <w:r w:rsidR="006D470A" w:rsidRPr="005047BB">
        <w:rPr>
          <w:rFonts w:asciiTheme="minorHAnsi" w:hAnsiTheme="minorHAnsi" w:cstheme="minorHAnsi"/>
          <w:sz w:val="22"/>
          <w:szCs w:val="22"/>
        </w:rPr>
        <w:t> :</w:t>
      </w:r>
    </w:p>
    <w:p w:rsidR="006D470A" w:rsidRPr="005047BB" w:rsidRDefault="006D470A" w:rsidP="00DE6B67">
      <w:pPr>
        <w:pStyle w:val="NormalWeb"/>
        <w:numPr>
          <w:ilvl w:val="0"/>
          <w:numId w:val="9"/>
        </w:numPr>
        <w:shd w:val="clear" w:color="auto" w:fill="FFFFFF"/>
        <w:spacing w:before="200" w:beforeAutospacing="0" w:after="120" w:afterAutospacing="0" w:line="320" w:lineRule="atLeast"/>
        <w:ind w:left="714" w:hanging="357"/>
        <w:jc w:val="both"/>
        <w:rPr>
          <w:rFonts w:asciiTheme="minorHAnsi" w:hAnsiTheme="minorHAnsi" w:cstheme="minorHAnsi"/>
          <w:sz w:val="22"/>
          <w:szCs w:val="22"/>
        </w:rPr>
      </w:pPr>
      <w:r w:rsidRPr="005047BB">
        <w:rPr>
          <w:rFonts w:asciiTheme="minorHAnsi" w:hAnsiTheme="minorHAnsi" w:cstheme="minorHAnsi"/>
          <w:sz w:val="22"/>
          <w:szCs w:val="22"/>
        </w:rPr>
        <w:t>sur les orientations de la formation professionnelle dans l’établissement en fonction des perspectives économiques et de l’évolution de l’emploi, des investissements et des technologies dans celui-ci</w:t>
      </w:r>
      <w:r w:rsidR="00AC72DC" w:rsidRPr="005047BB">
        <w:rPr>
          <w:rFonts w:asciiTheme="minorHAnsi" w:hAnsiTheme="minorHAnsi" w:cstheme="minorHAnsi"/>
          <w:sz w:val="22"/>
          <w:szCs w:val="22"/>
        </w:rPr>
        <w:t>. Le comité d'entreprise est saisi chaque fois qu'un changement important affecte l'un de ces domaines.</w:t>
      </w:r>
    </w:p>
    <w:p w:rsidR="008D5A49" w:rsidRPr="005047BB" w:rsidRDefault="008D5A49" w:rsidP="00DE6B67">
      <w:pPr>
        <w:pStyle w:val="NormalWeb"/>
        <w:numPr>
          <w:ilvl w:val="0"/>
          <w:numId w:val="9"/>
        </w:numPr>
        <w:shd w:val="clear" w:color="auto" w:fill="FFFFFF"/>
        <w:spacing w:before="0" w:beforeAutospacing="0" w:after="120" w:afterAutospacing="0" w:line="320" w:lineRule="atLeast"/>
        <w:ind w:left="714" w:hanging="357"/>
        <w:jc w:val="both"/>
        <w:rPr>
          <w:rFonts w:asciiTheme="minorHAnsi" w:hAnsiTheme="minorHAnsi" w:cstheme="minorHAnsi"/>
          <w:sz w:val="22"/>
          <w:szCs w:val="22"/>
        </w:rPr>
      </w:pPr>
      <w:r w:rsidRPr="005047BB">
        <w:rPr>
          <w:rFonts w:asciiTheme="minorHAnsi" w:hAnsiTheme="minorHAnsi" w:cstheme="minorHAnsi"/>
          <w:sz w:val="22"/>
          <w:szCs w:val="22"/>
        </w:rPr>
        <w:t xml:space="preserve">au cours de deux réunions spécifiques, </w:t>
      </w:r>
      <w:r w:rsidR="007B1009" w:rsidRPr="005047BB">
        <w:rPr>
          <w:rFonts w:asciiTheme="minorHAnsi" w:hAnsiTheme="minorHAnsi" w:cstheme="minorHAnsi"/>
          <w:sz w:val="22"/>
          <w:szCs w:val="22"/>
        </w:rPr>
        <w:t xml:space="preserve">en vue d’émettre </w:t>
      </w:r>
      <w:r w:rsidRPr="005047BB">
        <w:rPr>
          <w:rFonts w:asciiTheme="minorHAnsi" w:hAnsiTheme="minorHAnsi" w:cstheme="minorHAnsi"/>
          <w:sz w:val="22"/>
          <w:szCs w:val="22"/>
        </w:rPr>
        <w:t>un avis sur l'exécution du plan de formation lors de l'année précédente et de l'année en cours et sur le projet de plan ou de mise en œuv</w:t>
      </w:r>
      <w:r w:rsidR="006D470A" w:rsidRPr="005047BB">
        <w:rPr>
          <w:rFonts w:asciiTheme="minorHAnsi" w:hAnsiTheme="minorHAnsi" w:cstheme="minorHAnsi"/>
          <w:sz w:val="22"/>
          <w:szCs w:val="22"/>
        </w:rPr>
        <w:t>re du plan pour l'année à venir ;</w:t>
      </w:r>
    </w:p>
    <w:p w:rsidR="006D470A" w:rsidRPr="005047BB" w:rsidRDefault="006D470A" w:rsidP="00DE6B67">
      <w:pPr>
        <w:pStyle w:val="NormalWeb"/>
        <w:numPr>
          <w:ilvl w:val="0"/>
          <w:numId w:val="9"/>
        </w:numPr>
        <w:shd w:val="clear" w:color="auto" w:fill="FFFFFF"/>
        <w:spacing w:before="0" w:beforeAutospacing="0" w:after="120" w:afterAutospacing="0" w:line="320" w:lineRule="atLeast"/>
        <w:ind w:left="714" w:hanging="357"/>
        <w:jc w:val="both"/>
        <w:rPr>
          <w:rFonts w:asciiTheme="minorHAnsi" w:hAnsiTheme="minorHAnsi" w:cstheme="minorHAnsi"/>
          <w:sz w:val="22"/>
          <w:szCs w:val="22"/>
        </w:rPr>
      </w:pPr>
      <w:r w:rsidRPr="005047BB">
        <w:rPr>
          <w:rFonts w:asciiTheme="minorHAnsi" w:hAnsiTheme="minorHAnsi" w:cstheme="minorHAnsi"/>
          <w:sz w:val="22"/>
          <w:szCs w:val="22"/>
        </w:rPr>
        <w:t xml:space="preserve">en vue d’émettre un avis </w:t>
      </w:r>
      <w:r w:rsidRPr="005047BB">
        <w:rPr>
          <w:rFonts w:asciiTheme="minorHAnsi" w:hAnsiTheme="minorHAnsi" w:cstheme="minorHAnsi"/>
          <w:sz w:val="22"/>
          <w:szCs w:val="22"/>
          <w:shd w:val="clear" w:color="auto" w:fill="FFFFFF"/>
        </w:rPr>
        <w:t xml:space="preserve">sur les conditions de mise en œuvre des contrats et périodes de professionnalisation </w:t>
      </w:r>
      <w:r w:rsidR="00F00E80" w:rsidRPr="005047BB">
        <w:rPr>
          <w:rFonts w:asciiTheme="minorHAnsi" w:hAnsiTheme="minorHAnsi" w:cstheme="minorHAnsi"/>
          <w:sz w:val="22"/>
          <w:szCs w:val="22"/>
          <w:shd w:val="clear" w:color="auto" w:fill="FFFFFF"/>
        </w:rPr>
        <w:t xml:space="preserve">ainsi </w:t>
      </w:r>
      <w:r w:rsidRPr="005047BB">
        <w:rPr>
          <w:rFonts w:asciiTheme="minorHAnsi" w:hAnsiTheme="minorHAnsi" w:cstheme="minorHAnsi"/>
          <w:sz w:val="22"/>
          <w:szCs w:val="22"/>
          <w:shd w:val="clear" w:color="auto" w:fill="FFFFFF"/>
        </w:rPr>
        <w:t>que sur la mise en œuvre du compte personnel de formation.</w:t>
      </w:r>
    </w:p>
    <w:p w:rsidR="00DB07C4" w:rsidRPr="0084785B" w:rsidRDefault="00F00E80" w:rsidP="0084785B">
      <w:pPr>
        <w:pStyle w:val="NormalWeb"/>
        <w:shd w:val="clear" w:color="auto" w:fill="FFFFFF"/>
        <w:spacing w:before="180" w:beforeAutospacing="0" w:after="180" w:afterAutospacing="0" w:line="320" w:lineRule="atLeast"/>
        <w:jc w:val="both"/>
      </w:pPr>
      <w:r w:rsidRPr="005047BB">
        <w:rPr>
          <w:rFonts w:asciiTheme="minorHAnsi" w:hAnsiTheme="minorHAnsi" w:cstheme="minorHAnsi"/>
          <w:sz w:val="22"/>
          <w:szCs w:val="22"/>
        </w:rPr>
        <w:t xml:space="preserve">Les signataires s’engagent à permettre un accès facilité des représentants du personnel des travaux et décisions de la </w:t>
      </w:r>
      <w:r w:rsidRPr="005047BB">
        <w:rPr>
          <w:rFonts w:asciiTheme="minorHAnsi" w:hAnsiTheme="minorHAnsi" w:cstheme="minorHAnsi"/>
          <w:i/>
          <w:sz w:val="22"/>
          <w:szCs w:val="22"/>
        </w:rPr>
        <w:t>CPN EEP Formation</w:t>
      </w:r>
      <w:r w:rsidRPr="005047BB">
        <w:rPr>
          <w:rFonts w:asciiTheme="minorHAnsi" w:hAnsiTheme="minorHAnsi" w:cstheme="minorHAnsi"/>
          <w:sz w:val="22"/>
          <w:szCs w:val="22"/>
        </w:rPr>
        <w:t xml:space="preserve"> et de </w:t>
      </w:r>
      <w:r w:rsidRPr="005047BB">
        <w:rPr>
          <w:rFonts w:asciiTheme="minorHAnsi" w:hAnsiTheme="minorHAnsi" w:cstheme="minorHAnsi"/>
          <w:i/>
          <w:sz w:val="22"/>
          <w:szCs w:val="22"/>
        </w:rPr>
        <w:t>l’Observatoire EEP Formation</w:t>
      </w:r>
      <w:r w:rsidRPr="005047BB">
        <w:rPr>
          <w:rFonts w:asciiTheme="minorHAnsi" w:hAnsiTheme="minorHAnsi" w:cstheme="minorHAnsi"/>
          <w:sz w:val="22"/>
          <w:szCs w:val="22"/>
        </w:rPr>
        <w:t xml:space="preserve"> (site internet, communiqué, publication …).</w:t>
      </w:r>
      <w:r w:rsidR="00190131">
        <w:br w:type="page"/>
      </w:r>
    </w:p>
    <w:p w:rsidR="003A1C38" w:rsidRPr="00AD08E2" w:rsidRDefault="003A1C38" w:rsidP="00C17F13">
      <w:pPr>
        <w:pStyle w:val="Style8"/>
      </w:pPr>
      <w:bookmarkStart w:id="34" w:name="_Toc432788927"/>
      <w:r w:rsidRPr="00AD08E2">
        <w:t>Section 4</w:t>
      </w:r>
      <w:r w:rsidR="00440025">
        <w:t> :</w:t>
      </w:r>
      <w:r w:rsidRPr="00AD08E2">
        <w:t xml:space="preserve"> </w:t>
      </w:r>
      <w:r w:rsidR="00440025">
        <w:t xml:space="preserve">Les </w:t>
      </w:r>
      <w:r w:rsidRPr="00AD08E2">
        <w:t>dispositifs prioritaires ou spécifiques dans l’Interbranches</w:t>
      </w:r>
      <w:bookmarkEnd w:id="34"/>
    </w:p>
    <w:p w:rsidR="003A1C38" w:rsidRDefault="008A13C1" w:rsidP="00C17F13">
      <w:pPr>
        <w:pStyle w:val="Citationintense"/>
      </w:pPr>
      <w:bookmarkStart w:id="35" w:name="_Toc432788928"/>
      <w:r>
        <w:t xml:space="preserve">3.10 </w:t>
      </w:r>
      <w:r w:rsidR="003A1C38">
        <w:t>L’accès et la maîtrise du socle de connaissances et de compétences</w:t>
      </w:r>
      <w:r w:rsidR="00B479E8" w:rsidRPr="00B479E8">
        <w:rPr>
          <w:szCs w:val="22"/>
        </w:rPr>
        <w:t xml:space="preserve"> </w:t>
      </w:r>
      <w:r w:rsidR="00B479E8" w:rsidRPr="00E6152E">
        <w:rPr>
          <w:szCs w:val="22"/>
        </w:rPr>
        <w:t>professionnelles</w:t>
      </w:r>
      <w:bookmarkEnd w:id="35"/>
    </w:p>
    <w:p w:rsidR="003A1C38" w:rsidRDefault="003A1C38" w:rsidP="003A1C38">
      <w:pPr>
        <w:rPr>
          <w:rFonts w:cstheme="minorHAnsi"/>
          <w:szCs w:val="22"/>
        </w:rPr>
      </w:pPr>
      <w:r>
        <w:rPr>
          <w:rFonts w:cstheme="minorHAnsi"/>
          <w:szCs w:val="22"/>
        </w:rPr>
        <w:t xml:space="preserve">Le socle de connaissances et de compétences </w:t>
      </w:r>
      <w:r w:rsidR="00B479E8" w:rsidRPr="00E6152E">
        <w:rPr>
          <w:szCs w:val="22"/>
        </w:rPr>
        <w:t>professionnelles</w:t>
      </w:r>
      <w:r w:rsidR="00B479E8">
        <w:rPr>
          <w:rFonts w:cstheme="minorHAnsi"/>
          <w:szCs w:val="22"/>
        </w:rPr>
        <w:t xml:space="preserve"> </w:t>
      </w:r>
      <w:r>
        <w:rPr>
          <w:rFonts w:cstheme="minorHAnsi"/>
          <w:szCs w:val="22"/>
        </w:rPr>
        <w:t xml:space="preserve">est la première </w:t>
      </w:r>
      <w:r w:rsidRPr="005C2CBC">
        <w:rPr>
          <w:rFonts w:cstheme="minorHAnsi"/>
          <w:szCs w:val="22"/>
        </w:rPr>
        <w:t>certification professionnelle créée par les partenaires sociaux au plan interprofess</w:t>
      </w:r>
      <w:r>
        <w:rPr>
          <w:rFonts w:cstheme="minorHAnsi"/>
          <w:szCs w:val="22"/>
        </w:rPr>
        <w:t>ionnel sous l’égide du COPANEF</w:t>
      </w:r>
      <w:r>
        <w:rPr>
          <w:rStyle w:val="Appelnotedebasdep"/>
          <w:rFonts w:cstheme="minorHAnsi"/>
          <w:szCs w:val="22"/>
        </w:rPr>
        <w:footnoteReference w:id="3"/>
      </w:r>
      <w:r w:rsidRPr="005C2CBC">
        <w:rPr>
          <w:rFonts w:cstheme="minorHAnsi"/>
          <w:szCs w:val="22"/>
        </w:rPr>
        <w:t>.</w:t>
      </w:r>
    </w:p>
    <w:p w:rsidR="003A1C38" w:rsidRPr="00122AA2" w:rsidRDefault="003A1C38" w:rsidP="003A1C38">
      <w:pPr>
        <w:rPr>
          <w:rFonts w:cstheme="minorHAnsi"/>
          <w:szCs w:val="22"/>
        </w:rPr>
      </w:pPr>
      <w:r>
        <w:rPr>
          <w:rFonts w:cstheme="minorHAnsi"/>
          <w:szCs w:val="22"/>
        </w:rPr>
        <w:t xml:space="preserve">L’objectif </w:t>
      </w:r>
      <w:r w:rsidRPr="005C2CBC">
        <w:rPr>
          <w:rFonts w:cstheme="minorHAnsi"/>
          <w:szCs w:val="22"/>
        </w:rPr>
        <w:t xml:space="preserve">pour </w:t>
      </w:r>
      <w:r>
        <w:rPr>
          <w:rFonts w:cstheme="minorHAnsi"/>
          <w:szCs w:val="22"/>
        </w:rPr>
        <w:t>l’Interbranches</w:t>
      </w:r>
      <w:r w:rsidRPr="005C2CBC">
        <w:rPr>
          <w:rFonts w:cstheme="minorHAnsi"/>
          <w:szCs w:val="22"/>
        </w:rPr>
        <w:t xml:space="preserve"> est de s’emparer </w:t>
      </w:r>
      <w:r>
        <w:rPr>
          <w:rFonts w:cstheme="minorHAnsi"/>
          <w:szCs w:val="22"/>
        </w:rPr>
        <w:t xml:space="preserve">du socle </w:t>
      </w:r>
      <w:r w:rsidRPr="005C2CBC">
        <w:rPr>
          <w:rFonts w:cstheme="minorHAnsi"/>
          <w:szCs w:val="22"/>
        </w:rPr>
        <w:t>et de mettre en plac</w:t>
      </w:r>
      <w:r>
        <w:rPr>
          <w:rFonts w:cstheme="minorHAnsi"/>
          <w:szCs w:val="22"/>
        </w:rPr>
        <w:t>e une démarche de mise en œuvre</w:t>
      </w:r>
      <w:r w:rsidRPr="005C2CBC">
        <w:rPr>
          <w:rFonts w:cstheme="minorHAnsi"/>
          <w:szCs w:val="22"/>
        </w:rPr>
        <w:t xml:space="preserve"> </w:t>
      </w:r>
      <w:r>
        <w:rPr>
          <w:rFonts w:cstheme="minorHAnsi"/>
          <w:szCs w:val="22"/>
        </w:rPr>
        <w:t xml:space="preserve">au bénéfice des établissements et des </w:t>
      </w:r>
      <w:r w:rsidRPr="005C2CBC">
        <w:rPr>
          <w:rFonts w:cstheme="minorHAnsi"/>
          <w:szCs w:val="22"/>
        </w:rPr>
        <w:t>salariés</w:t>
      </w:r>
      <w:r>
        <w:rPr>
          <w:rFonts w:cstheme="minorHAnsi"/>
          <w:szCs w:val="22"/>
        </w:rPr>
        <w:t xml:space="preserve"> </w:t>
      </w:r>
      <w:r w:rsidRPr="00122AA2">
        <w:rPr>
          <w:rFonts w:cstheme="minorHAnsi"/>
          <w:szCs w:val="22"/>
        </w:rPr>
        <w:t>utile à l’insertion professionnelle et à la vie sociale, civique et culturelle.</w:t>
      </w:r>
    </w:p>
    <w:p w:rsidR="003A1C38" w:rsidRDefault="003A1C38" w:rsidP="003A1C38">
      <w:pPr>
        <w:rPr>
          <w:rFonts w:cstheme="minorHAnsi"/>
          <w:szCs w:val="22"/>
        </w:rPr>
      </w:pPr>
      <w:r w:rsidRPr="00122AA2">
        <w:rPr>
          <w:rFonts w:cstheme="minorHAnsi"/>
          <w:szCs w:val="22"/>
        </w:rPr>
        <w:t xml:space="preserve">Les signataires du présent accord rappellent que les actions </w:t>
      </w:r>
      <w:r>
        <w:rPr>
          <w:rFonts w:cstheme="minorHAnsi"/>
          <w:szCs w:val="22"/>
        </w:rPr>
        <w:t>de formation</w:t>
      </w:r>
      <w:r w:rsidRPr="00122AA2">
        <w:rPr>
          <w:rFonts w:cstheme="minorHAnsi"/>
          <w:szCs w:val="22"/>
        </w:rPr>
        <w:t xml:space="preserve"> permettant d’acquérir ce socl</w:t>
      </w:r>
      <w:r>
        <w:rPr>
          <w:rFonts w:cstheme="minorHAnsi"/>
          <w:szCs w:val="22"/>
        </w:rPr>
        <w:t>e sont éligibles au CPF et aux p</w:t>
      </w:r>
      <w:r w:rsidRPr="00122AA2">
        <w:rPr>
          <w:rFonts w:cstheme="minorHAnsi"/>
          <w:szCs w:val="22"/>
        </w:rPr>
        <w:t>ériodes de professionnalisation.</w:t>
      </w:r>
    </w:p>
    <w:p w:rsidR="003A1C38" w:rsidRPr="005C6AF3" w:rsidRDefault="008A13C1" w:rsidP="00C17F13">
      <w:pPr>
        <w:pStyle w:val="Citationintense"/>
      </w:pPr>
      <w:bookmarkStart w:id="36" w:name="_Toc432788929"/>
      <w:r>
        <w:t xml:space="preserve">3.11 </w:t>
      </w:r>
      <w:r w:rsidR="006845A3">
        <w:t>Les actions de Validation des A</w:t>
      </w:r>
      <w:r w:rsidR="003A1C38" w:rsidRPr="005C6AF3">
        <w:t>cquis de l’</w:t>
      </w:r>
      <w:r w:rsidR="006845A3">
        <w:t>E</w:t>
      </w:r>
      <w:r w:rsidR="003A1C38" w:rsidRPr="005C6AF3">
        <w:t>xpérience (VAE)</w:t>
      </w:r>
      <w:bookmarkEnd w:id="36"/>
    </w:p>
    <w:p w:rsidR="003A1C38" w:rsidRDefault="003A1C38" w:rsidP="003A1C38">
      <w:r>
        <w:t xml:space="preserve">Les signataires s’accordent sur le fait que la VAE est une démarche individuelle et qu’elle n’est pas une action de formation. </w:t>
      </w:r>
    </w:p>
    <w:p w:rsidR="003A1C38" w:rsidRDefault="003A1C38" w:rsidP="003A1C38">
      <w:r>
        <w:t xml:space="preserve">Ainsi, toute personne, quels que soient : son âge, sa nationalité, son statut et son niveau de formation, qui justifie d’au moins </w:t>
      </w:r>
      <w:r w:rsidR="00D20F24">
        <w:t xml:space="preserve">3 </w:t>
      </w:r>
      <w:r>
        <w:t xml:space="preserve">ans d’expérience en rapport direct avec la certification visée, peut prétendre à la VAE. </w:t>
      </w:r>
    </w:p>
    <w:p w:rsidR="003A1C38" w:rsidRDefault="003A1C38" w:rsidP="003A1C38">
      <w:r>
        <w:t>Cette certification qui peut être un diplôme, un titre ou un certificat de qualification professionnelle doit être inscrite au Répertoire national des certifications professionnelles.</w:t>
      </w:r>
    </w:p>
    <w:p w:rsidR="003A1C38" w:rsidRDefault="003A1C38" w:rsidP="003A1C38">
      <w:r>
        <w:t xml:space="preserve">Les signataires s’accordent sur les objectifs de la VAE comme servant à : </w:t>
      </w:r>
    </w:p>
    <w:p w:rsidR="003A1C38" w:rsidRDefault="003A1C38" w:rsidP="00AB554A">
      <w:pPr>
        <w:pStyle w:val="Paragraphedeliste"/>
        <w:numPr>
          <w:ilvl w:val="0"/>
          <w:numId w:val="10"/>
        </w:numPr>
        <w:spacing w:after="120"/>
        <w:ind w:left="714" w:hanging="357"/>
        <w:contextualSpacing w:val="0"/>
      </w:pPr>
      <w:r>
        <w:t>obtenir une certification ;</w:t>
      </w:r>
    </w:p>
    <w:p w:rsidR="003A1C38" w:rsidRDefault="003A1C38" w:rsidP="00AB554A">
      <w:pPr>
        <w:pStyle w:val="Paragraphedeliste"/>
        <w:numPr>
          <w:ilvl w:val="0"/>
          <w:numId w:val="10"/>
        </w:numPr>
        <w:spacing w:after="120"/>
        <w:ind w:left="714" w:hanging="357"/>
        <w:contextualSpacing w:val="0"/>
      </w:pPr>
      <w:r>
        <w:t>mettre en cohérence sa certification avec son niveau de responsabilité, son emploi ;</w:t>
      </w:r>
    </w:p>
    <w:p w:rsidR="003A1C38" w:rsidRDefault="003A1C38" w:rsidP="00AB554A">
      <w:pPr>
        <w:pStyle w:val="Paragraphedeliste"/>
        <w:numPr>
          <w:ilvl w:val="0"/>
          <w:numId w:val="10"/>
        </w:numPr>
        <w:spacing w:after="120"/>
        <w:ind w:left="714" w:hanging="357"/>
        <w:contextualSpacing w:val="0"/>
      </w:pPr>
      <w:r>
        <w:t>faire reconnaître ses compétences ;</w:t>
      </w:r>
    </w:p>
    <w:p w:rsidR="003A1C38" w:rsidRDefault="003A1C38" w:rsidP="00AB554A">
      <w:pPr>
        <w:pStyle w:val="Paragraphedeliste"/>
        <w:numPr>
          <w:ilvl w:val="0"/>
          <w:numId w:val="10"/>
        </w:numPr>
        <w:spacing w:after="120"/>
        <w:ind w:left="714" w:hanging="357"/>
        <w:contextualSpacing w:val="0"/>
      </w:pPr>
      <w:r>
        <w:t>favoriser la progression.</w:t>
      </w:r>
    </w:p>
    <w:p w:rsidR="0028207E" w:rsidRDefault="003A1C38" w:rsidP="00122AA2">
      <w:r>
        <w:t>Il est possible, afin de financer l’accompagnement de la VAE, par le Plan (convention tripartite), d’actionner le CPF, ou encore avec le FONGECIF dans le cadre d’un congé</w:t>
      </w:r>
      <w:r>
        <w:rPr>
          <w:rStyle w:val="Appelnotedebasdep"/>
        </w:rPr>
        <w:footnoteReference w:id="4"/>
      </w:r>
      <w:r>
        <w:t>.</w:t>
      </w:r>
    </w:p>
    <w:p w:rsidR="003A1C38" w:rsidRDefault="008A13C1" w:rsidP="00C17F13">
      <w:pPr>
        <w:pStyle w:val="Citationintense"/>
      </w:pPr>
      <w:bookmarkStart w:id="37" w:name="_Toc432788930"/>
      <w:r>
        <w:t xml:space="preserve">3.12 </w:t>
      </w:r>
      <w:r w:rsidR="003A1C38">
        <w:t>Les Certificats de qualification professionnelle (CQP)</w:t>
      </w:r>
      <w:bookmarkEnd w:id="37"/>
      <w:r w:rsidR="006B32F4">
        <w:t xml:space="preserve"> </w:t>
      </w:r>
    </w:p>
    <w:p w:rsidR="006B32F4" w:rsidRDefault="006B32F4" w:rsidP="006B32F4">
      <w:r>
        <w:t>Considérant que certains métiers nécessitent la maîtrise de compétences spécifiques pour leur exercice au sein des établissements de l’Interbranches et qu’il n’existe pas de certification professionnelle correspondante, les partenaires sociaux peuvent procéder à la création de Certificat de Qualification Professionnelle (CQP).</w:t>
      </w:r>
    </w:p>
    <w:p w:rsidR="003A1C38" w:rsidRDefault="00AB529E" w:rsidP="00C17F13">
      <w:pPr>
        <w:pStyle w:val="Titre1"/>
      </w:pPr>
      <w:bookmarkStart w:id="38" w:name="_Toc432788931"/>
      <w:r>
        <w:t>3.1</w:t>
      </w:r>
      <w:r w:rsidR="008A13C1">
        <w:t>2.1</w:t>
      </w:r>
      <w:r>
        <w:t xml:space="preserve"> </w:t>
      </w:r>
      <w:r w:rsidR="003A1C38">
        <w:t>Définition</w:t>
      </w:r>
      <w:r w:rsidR="006B32F4">
        <w:t xml:space="preserve"> du CQP</w:t>
      </w:r>
      <w:bookmarkEnd w:id="38"/>
    </w:p>
    <w:p w:rsidR="003A1C38" w:rsidRDefault="003A1C38" w:rsidP="003A1C38">
      <w:r>
        <w:t xml:space="preserve">Le Certificat de Qualification Professionnelle (CQP) est une certification créée et délivrée par une branche professionnelle, </w:t>
      </w:r>
      <w:r w:rsidRPr="00A70A4F">
        <w:rPr>
          <w:i/>
        </w:rPr>
        <w:t>via</w:t>
      </w:r>
      <w:r>
        <w:t xml:space="preserve"> la </w:t>
      </w:r>
      <w:r w:rsidRPr="000C1AB5">
        <w:rPr>
          <w:i/>
        </w:rPr>
        <w:t>CPN EEP Formation</w:t>
      </w:r>
      <w:r>
        <w:t xml:space="preserve">. Il atteste de la </w:t>
      </w:r>
      <w:r w:rsidR="00574547">
        <w:t xml:space="preserve">maîtrise </w:t>
      </w:r>
      <w:r>
        <w:t>de compétences liées à un métier (c’est-à-dire une qualification identifiée par la branche).</w:t>
      </w:r>
    </w:p>
    <w:p w:rsidR="003A1C38" w:rsidRDefault="003A1C38" w:rsidP="003A1C38">
      <w:r>
        <w:t>Le CQP est ainsi reconnu dans tous les établissements relevant de l’Interbranc</w:t>
      </w:r>
      <w:r w:rsidR="009E3219">
        <w:t xml:space="preserve">hes par les </w:t>
      </w:r>
      <w:r w:rsidR="00AB529E">
        <w:t>classification</w:t>
      </w:r>
      <w:r w:rsidR="009E3219">
        <w:t>s</w:t>
      </w:r>
      <w:r w:rsidR="00AB529E">
        <w:t xml:space="preserve"> </w:t>
      </w:r>
      <w:r w:rsidR="009E3219">
        <w:t>d</w:t>
      </w:r>
      <w:r w:rsidR="00AB529E">
        <w:t>es</w:t>
      </w:r>
      <w:r>
        <w:t xml:space="preserve"> </w:t>
      </w:r>
      <w:r w:rsidR="00390341" w:rsidRPr="003C1818">
        <w:rPr>
          <w:rFonts w:cs="TimesNewRomanPS-BoldMT"/>
          <w:szCs w:val="22"/>
          <w:lang w:eastAsia="fr-FR"/>
        </w:rPr>
        <w:t>conventions collectives du champ du présent accord</w:t>
      </w:r>
      <w:r>
        <w:t>.</w:t>
      </w:r>
    </w:p>
    <w:p w:rsidR="003A1C38" w:rsidRDefault="003A1C38" w:rsidP="003A1C38">
      <w:r>
        <w:t xml:space="preserve">Le CQP est fondé sur un référentiel d’activités et de compétences à partir duquel un référentiel de certification est établi. </w:t>
      </w:r>
    </w:p>
    <w:p w:rsidR="003A1C38" w:rsidRDefault="003A1C38" w:rsidP="003A1C38">
      <w:r>
        <w:t xml:space="preserve">Le CQP </w:t>
      </w:r>
      <w:r w:rsidR="002110AA">
        <w:t xml:space="preserve">est </w:t>
      </w:r>
      <w:r>
        <w:t>une certification de compétences et, à ce titre, il nécessite une évaluation.</w:t>
      </w:r>
    </w:p>
    <w:p w:rsidR="003A1C38" w:rsidRDefault="003A1C38" w:rsidP="003A1C38">
      <w:r>
        <w:t xml:space="preserve">Le CQP est délivré par </w:t>
      </w:r>
      <w:r w:rsidR="00AB554A">
        <w:t xml:space="preserve">une commission de certification (émanant de la CPN EEP Formation) </w:t>
      </w:r>
      <w:r>
        <w:t xml:space="preserve">à l’issue d’un parcours de formation ou par le biais d’une validation des acquis de l’expérience (VAE) et seulement après que le candidat a répondu aux exigences de l’évaluation fixées au préalable par la </w:t>
      </w:r>
      <w:r w:rsidRPr="008147C3">
        <w:rPr>
          <w:i/>
        </w:rPr>
        <w:t>CPN EEP Formation</w:t>
      </w:r>
      <w:r>
        <w:t>.</w:t>
      </w:r>
    </w:p>
    <w:p w:rsidR="003A1C38" w:rsidRDefault="003A1C38" w:rsidP="003A1C38">
      <w:r>
        <w:t xml:space="preserve">La mise en œuvre du CQP est, donc, le fruit d’une coopération entre la </w:t>
      </w:r>
      <w:r w:rsidRPr="008147C3">
        <w:rPr>
          <w:i/>
        </w:rPr>
        <w:t>CPN EEP Formation</w:t>
      </w:r>
      <w:r>
        <w:t xml:space="preserve"> qui établit les référentiels de compétences par domaine d’activités et les organismes de formation qui les traduisent en référentiel de formation. </w:t>
      </w:r>
    </w:p>
    <w:p w:rsidR="003A1C38" w:rsidRDefault="003A1C38" w:rsidP="003A1C38">
      <w:r>
        <w:t xml:space="preserve">Le CQP peut également être inscrit au Répertoire Nationale des Certifications Professionnelles (RNCP) de la Commission Nationale des Certifications Professionnelles (CNCP). Cette certification permet la reconnaissance d’une qualification pour le salarié, la valorisation d’un métier pour la branche et sa visibilité au niveau national. </w:t>
      </w:r>
    </w:p>
    <w:p w:rsidR="003A1C38" w:rsidRDefault="003A1C38" w:rsidP="003A1C38">
      <w:r>
        <w:t xml:space="preserve">Les signataires confient cette mission à la </w:t>
      </w:r>
      <w:r w:rsidRPr="008147C3">
        <w:rPr>
          <w:i/>
        </w:rPr>
        <w:t>CPN EEP Formation</w:t>
      </w:r>
      <w:r>
        <w:t>.</w:t>
      </w:r>
    </w:p>
    <w:p w:rsidR="003A1C38" w:rsidRDefault="00A11373" w:rsidP="00C17F13">
      <w:pPr>
        <w:pStyle w:val="Titre1"/>
      </w:pPr>
      <w:bookmarkStart w:id="39" w:name="_Toc432788932"/>
      <w:r>
        <w:t>3.</w:t>
      </w:r>
      <w:r w:rsidR="008A13C1">
        <w:t>12.2</w:t>
      </w:r>
      <w:r w:rsidR="00AB529E">
        <w:t xml:space="preserve"> </w:t>
      </w:r>
      <w:r w:rsidR="003A1C38" w:rsidRPr="00312371">
        <w:t xml:space="preserve">Formalisation </w:t>
      </w:r>
      <w:r w:rsidR="003A1C38" w:rsidRPr="005047BB">
        <w:t xml:space="preserve">initiale </w:t>
      </w:r>
      <w:r w:rsidR="001C0954" w:rsidRPr="005047BB">
        <w:t>lors de l’entrée dans la démarche CQP</w:t>
      </w:r>
      <w:bookmarkEnd w:id="39"/>
    </w:p>
    <w:p w:rsidR="003A1C38" w:rsidRPr="00584766" w:rsidRDefault="003A1C38" w:rsidP="003A1C38">
      <w:r w:rsidRPr="00584766">
        <w:t>L’entrée du salarié dans la démarche CQP repose sur un accord formalisé avec son employeur.</w:t>
      </w:r>
    </w:p>
    <w:p w:rsidR="003A1C38" w:rsidRPr="00584766" w:rsidRDefault="003A1C38" w:rsidP="003A1C38">
      <w:r w:rsidRPr="00584766">
        <w:t>Lors du « positionnement », employeur et salarié signent un document intitulé « engagements réciproques » :</w:t>
      </w:r>
    </w:p>
    <w:p w:rsidR="003A1C38" w:rsidRPr="00312371" w:rsidRDefault="003A1C38" w:rsidP="00AB554A">
      <w:pPr>
        <w:numPr>
          <w:ilvl w:val="0"/>
          <w:numId w:val="21"/>
        </w:numPr>
        <w:spacing w:after="120"/>
        <w:ind w:left="714" w:hanging="357"/>
        <w:rPr>
          <w:rFonts w:ascii="Calibri" w:eastAsia="Calibri" w:hAnsi="Calibri"/>
        </w:rPr>
      </w:pPr>
      <w:r w:rsidRPr="00312371">
        <w:rPr>
          <w:rFonts w:ascii="Calibri" w:eastAsia="Calibri" w:hAnsi="Calibri"/>
        </w:rPr>
        <w:t xml:space="preserve">le chef d’établissement indique au salarié si l’obtention de la certification le conduit à occuper, dans l’établissement, un poste correspondant au niveau de qualification attaché à ce CQP ou si cela participe de l’accompagnement de sa carrière professionnelle en vue de  sécuriser son parcours et son employabilité au sein de l’interbranche ; </w:t>
      </w:r>
    </w:p>
    <w:p w:rsidR="003A1C38" w:rsidRPr="00312371" w:rsidRDefault="003A1C38" w:rsidP="00AB554A">
      <w:pPr>
        <w:numPr>
          <w:ilvl w:val="0"/>
          <w:numId w:val="21"/>
        </w:numPr>
        <w:spacing w:after="120"/>
        <w:ind w:left="714" w:hanging="357"/>
        <w:rPr>
          <w:rFonts w:ascii="Calibri" w:eastAsia="Calibri" w:hAnsi="Calibri"/>
        </w:rPr>
      </w:pPr>
      <w:r w:rsidRPr="00312371">
        <w:rPr>
          <w:rFonts w:ascii="Calibri" w:eastAsia="Calibri" w:hAnsi="Calibri"/>
        </w:rPr>
        <w:t xml:space="preserve">dans ce cadre, le chef d’établissement et le salarié consignent également par écrit les conséquences conventionnelles de leurs engagements relatifs à l’obtention du CQP. </w:t>
      </w:r>
    </w:p>
    <w:p w:rsidR="003A1C38" w:rsidRPr="00312371" w:rsidRDefault="003A1C38" w:rsidP="003A1C38">
      <w:pPr>
        <w:spacing w:after="0"/>
        <w:rPr>
          <w:rFonts w:ascii="Calibri" w:eastAsia="Calibri" w:hAnsi="Calibri"/>
        </w:rPr>
      </w:pPr>
    </w:p>
    <w:p w:rsidR="003A1C38" w:rsidRDefault="003A1C38" w:rsidP="003A1C38">
      <w:pPr>
        <w:spacing w:after="0"/>
        <w:rPr>
          <w:rFonts w:ascii="Calibri" w:eastAsia="Calibri" w:hAnsi="Calibri"/>
        </w:rPr>
      </w:pPr>
      <w:r w:rsidRPr="00312371">
        <w:rPr>
          <w:rFonts w:ascii="Calibri" w:eastAsia="Calibri" w:hAnsi="Calibri"/>
        </w:rPr>
        <w:t>Un document de référence permettant cette formalisation est proposé dans les outils développés par la</w:t>
      </w:r>
      <w:r>
        <w:rPr>
          <w:rFonts w:ascii="Calibri" w:eastAsia="Calibri" w:hAnsi="Calibri"/>
        </w:rPr>
        <w:t xml:space="preserve"> </w:t>
      </w:r>
      <w:r w:rsidRPr="00584766">
        <w:rPr>
          <w:i/>
          <w:iCs/>
        </w:rPr>
        <w:t>CPN EEP Formation</w:t>
      </w:r>
      <w:r w:rsidRPr="00312371">
        <w:rPr>
          <w:rFonts w:ascii="Calibri" w:eastAsia="Calibri" w:hAnsi="Calibri"/>
        </w:rPr>
        <w:t xml:space="preserve"> mis à disposition du salarié et du chef d’établissement.</w:t>
      </w:r>
    </w:p>
    <w:p w:rsidR="00713134" w:rsidRDefault="008A13C1" w:rsidP="00C17F13">
      <w:pPr>
        <w:pStyle w:val="Citationintense"/>
      </w:pPr>
      <w:bookmarkStart w:id="40" w:name="_Toc432788933"/>
      <w:r>
        <w:t xml:space="preserve">3.13 </w:t>
      </w:r>
      <w:r w:rsidR="00713134">
        <w:t xml:space="preserve">Les </w:t>
      </w:r>
      <w:r w:rsidR="00713134" w:rsidRPr="006B32F4">
        <w:t>titres à finalité professionnelle</w:t>
      </w:r>
      <w:bookmarkEnd w:id="40"/>
    </w:p>
    <w:p w:rsidR="00713134" w:rsidRPr="00713134" w:rsidRDefault="00713134" w:rsidP="00713134">
      <w:pPr>
        <w:spacing w:after="0"/>
        <w:rPr>
          <w:rFonts w:ascii="Calibri" w:eastAsia="Calibri" w:hAnsi="Calibri"/>
        </w:rPr>
      </w:pPr>
      <w:r w:rsidRPr="00713134">
        <w:rPr>
          <w:rFonts w:ascii="Calibri" w:eastAsia="Calibri" w:hAnsi="Calibri"/>
        </w:rPr>
        <w:t xml:space="preserve">L’Interbranches se réserve le droit de s’appuyer sur des titres professionnels ou à finalité professionnelle et d’accompagner les organismes certificateurs lorsque ces titres attestent de la maîtrise de compétences, aptitudes et connaissances permettant l’exercice d’activités professionnelles qualifiées au sein des établissements. </w:t>
      </w:r>
    </w:p>
    <w:p w:rsidR="003A1C38" w:rsidRDefault="008A13C1" w:rsidP="00C17F13">
      <w:pPr>
        <w:pStyle w:val="Citationintense"/>
      </w:pPr>
      <w:bookmarkStart w:id="41" w:name="_Toc432788934"/>
      <w:r>
        <w:t xml:space="preserve">3.14 </w:t>
      </w:r>
      <w:r w:rsidR="003A1C38" w:rsidRPr="004C532D">
        <w:t>L</w:t>
      </w:r>
      <w:r w:rsidR="003A1C38">
        <w:t xml:space="preserve">a fonction tutorale </w:t>
      </w:r>
      <w:r w:rsidR="003A1C38" w:rsidRPr="004C532D">
        <w:t>et les missions d’accompagnement</w:t>
      </w:r>
      <w:bookmarkEnd w:id="41"/>
    </w:p>
    <w:p w:rsidR="003A1C38" w:rsidRDefault="003A1C38" w:rsidP="003A1C38">
      <w:r>
        <w:t>Les signataires s’accordent sur l’importance de la formation et de valorisation des tuteurs et des accompagnateurs dans l’Interbranches.</w:t>
      </w:r>
    </w:p>
    <w:p w:rsidR="003A1C38" w:rsidRDefault="003A1C38" w:rsidP="003A1C38">
      <w:r>
        <w:t xml:space="preserve">A ce titre, les signataires du présent accord distinguent : </w:t>
      </w:r>
    </w:p>
    <w:p w:rsidR="003A1C38" w:rsidRDefault="003A1C38" w:rsidP="00AB554A">
      <w:pPr>
        <w:pStyle w:val="Paragraphedeliste"/>
        <w:numPr>
          <w:ilvl w:val="0"/>
          <w:numId w:val="14"/>
        </w:numPr>
        <w:spacing w:after="120"/>
        <w:ind w:left="714" w:hanging="357"/>
        <w:contextualSpacing w:val="0"/>
      </w:pPr>
      <w:r>
        <w:t xml:space="preserve">le </w:t>
      </w:r>
      <w:r w:rsidRPr="0084785B">
        <w:rPr>
          <w:color w:val="92CDDC" w:themeColor="accent5" w:themeTint="99"/>
        </w:rPr>
        <w:t xml:space="preserve">tuteur </w:t>
      </w:r>
      <w:r>
        <w:t xml:space="preserve">exerçant des missions dans le cadre d’un contrat de professionnalisation ou dans le cadre d’une période de professionnalisation ; </w:t>
      </w:r>
    </w:p>
    <w:p w:rsidR="003A1C38" w:rsidRDefault="003A1C38" w:rsidP="00AB554A">
      <w:pPr>
        <w:pStyle w:val="Paragraphedeliste"/>
        <w:numPr>
          <w:ilvl w:val="0"/>
          <w:numId w:val="14"/>
        </w:numPr>
        <w:spacing w:after="120"/>
        <w:ind w:left="714" w:hanging="357"/>
        <w:contextualSpacing w:val="0"/>
      </w:pPr>
      <w:r w:rsidRPr="0084785B">
        <w:rPr>
          <w:color w:val="92CDDC" w:themeColor="accent5" w:themeTint="99"/>
        </w:rPr>
        <w:t xml:space="preserve">l’accompagnateur </w:t>
      </w:r>
      <w:r>
        <w:t>dans le cadre des CQP.</w:t>
      </w:r>
    </w:p>
    <w:p w:rsidR="005C522A" w:rsidRPr="005C6CE0" w:rsidRDefault="00A40D5F" w:rsidP="005C522A">
      <w:r>
        <w:t xml:space="preserve">L’exercice de ces </w:t>
      </w:r>
      <w:r w:rsidR="005C522A" w:rsidRPr="005C6CE0">
        <w:t xml:space="preserve">missions </w:t>
      </w:r>
      <w:r>
        <w:t xml:space="preserve">est considéré comme un </w:t>
      </w:r>
      <w:r w:rsidR="005C6CE0" w:rsidRPr="005C6CE0">
        <w:t>temps de travail.</w:t>
      </w:r>
    </w:p>
    <w:p w:rsidR="003A1C38" w:rsidRDefault="008A13C1" w:rsidP="00C17F13">
      <w:pPr>
        <w:pStyle w:val="Titre1"/>
      </w:pPr>
      <w:bookmarkStart w:id="42" w:name="_Toc432788935"/>
      <w:r>
        <w:t>3.14.1</w:t>
      </w:r>
      <w:r w:rsidR="00AB529E">
        <w:t xml:space="preserve"> </w:t>
      </w:r>
      <w:r w:rsidR="003A1C38">
        <w:t>Le tuteur</w:t>
      </w:r>
      <w:bookmarkEnd w:id="42"/>
    </w:p>
    <w:p w:rsidR="003A1C38" w:rsidRDefault="003A1C38" w:rsidP="003A1C38">
      <w:r>
        <w:t>Le tuteur est chargé d’accueillir, guider et accompagner un salarié dans le cadre d’un contrat de professionnalisation ou d’une période de professionnalisation.</w:t>
      </w:r>
    </w:p>
    <w:p w:rsidR="003A1C38" w:rsidRDefault="003A1C38" w:rsidP="003A1C38">
      <w:r>
        <w:t xml:space="preserve">Le tuteur est un salarié volontaire </w:t>
      </w:r>
      <w:r w:rsidR="004F4FD3">
        <w:t xml:space="preserve">choisi par l’employeur parmi les salariés qualifié de son établissement, </w:t>
      </w:r>
      <w:r>
        <w:t>ce</w:t>
      </w:r>
      <w:r w:rsidR="004F4FD3">
        <w:t xml:space="preserve">ci </w:t>
      </w:r>
      <w:r>
        <w:t>favorise la réussite du parcours de professionnalisation. Il peut également assurer la liaison avec l’organisme de formation.</w:t>
      </w:r>
    </w:p>
    <w:p w:rsidR="003A1C38" w:rsidRDefault="003A1C38" w:rsidP="003A1C38">
      <w:r>
        <w:t>Le tuteur doit avoir une bonne connaissance de l’Institution et de l’établissement. Il doit justifier d’une expérience d’au moins 2 ans dans une qualification en rapport avec l’objectif de professionnalisation visé.</w:t>
      </w:r>
    </w:p>
    <w:p w:rsidR="003A1C38" w:rsidRDefault="003A1C38" w:rsidP="003A1C38">
      <w:r>
        <w:t>Le tuteur doit bénéficier d’une préparation et, si nécessaire</w:t>
      </w:r>
      <w:r w:rsidR="006845A3">
        <w:t>,</w:t>
      </w:r>
      <w:r>
        <w:t xml:space="preserve"> d’une formation spécifique préalable.</w:t>
      </w:r>
    </w:p>
    <w:p w:rsidR="003A1C38" w:rsidRDefault="008A13C1" w:rsidP="00C17F13">
      <w:pPr>
        <w:pStyle w:val="Titre1"/>
      </w:pPr>
      <w:bookmarkStart w:id="43" w:name="_Toc432788936"/>
      <w:r>
        <w:t>3.14.2</w:t>
      </w:r>
      <w:r w:rsidR="00AB529E">
        <w:t xml:space="preserve"> </w:t>
      </w:r>
      <w:r w:rsidR="003A1C38">
        <w:t>L’accompagnateur</w:t>
      </w:r>
      <w:bookmarkEnd w:id="43"/>
    </w:p>
    <w:p w:rsidR="003A1C38" w:rsidRDefault="003A1C38" w:rsidP="003A1C38">
      <w:r>
        <w:t xml:space="preserve">Au cours de leur formation les candidats au CQP doivent effectuer une mise en pratique dans un établissement de stage. A cette occasion, ils sont accompagnés et évalués par </w:t>
      </w:r>
      <w:r w:rsidR="004F4FD3">
        <w:t xml:space="preserve">un salarié </w:t>
      </w:r>
      <w:r>
        <w:t xml:space="preserve">de l’établissement. </w:t>
      </w:r>
    </w:p>
    <w:p w:rsidR="003A1C38" w:rsidRPr="005A2A32" w:rsidRDefault="003A1C38" w:rsidP="003A1C38">
      <w:r>
        <w:t>Les signataires</w:t>
      </w:r>
      <w:r>
        <w:rPr>
          <w:color w:val="FF0000"/>
        </w:rPr>
        <w:t xml:space="preserve"> </w:t>
      </w:r>
      <w:r w:rsidRPr="005A2A32">
        <w:t>renvoient à l’accord de création des CQP quant à la définition des pré</w:t>
      </w:r>
      <w:r w:rsidR="004F4FD3">
        <w:t>-</w:t>
      </w:r>
      <w:r w:rsidRPr="005A2A32">
        <w:t>requis et l’expérience requise pour assurer les missions d’accompagnement confiées.</w:t>
      </w:r>
    </w:p>
    <w:p w:rsidR="003A1C38" w:rsidRDefault="003A1C38" w:rsidP="003A1C38">
      <w:r>
        <w:t xml:space="preserve">Les signataires s’accordent sur l’importance de la formation des accompagnateurs afin de professionnaliser les pratiques et de partager un langage commun. </w:t>
      </w:r>
    </w:p>
    <w:p w:rsidR="003A1C38" w:rsidRDefault="003A1C38" w:rsidP="003A1C38">
      <w:r>
        <w:t xml:space="preserve">Par ailleurs, un vivier des établissements de stage est créé par le Collège </w:t>
      </w:r>
      <w:r w:rsidR="005C522A">
        <w:t xml:space="preserve">des </w:t>
      </w:r>
      <w:r>
        <w:t>employeur</w:t>
      </w:r>
      <w:r w:rsidR="005C522A">
        <w:t>s</w:t>
      </w:r>
      <w:r>
        <w:t xml:space="preserve"> qui en assure le suivi sous l’égide de la </w:t>
      </w:r>
      <w:r w:rsidRPr="003A2C65">
        <w:rPr>
          <w:i/>
        </w:rPr>
        <w:t>CPN EEP Formation</w:t>
      </w:r>
      <w:r>
        <w:t xml:space="preserve">. </w:t>
      </w:r>
    </w:p>
    <w:p w:rsidR="003A1C38" w:rsidRDefault="003A1C38" w:rsidP="003A1C38">
      <w:r>
        <w:t>Lors de l’inscription au vivier, les établissements d’accueil et les accompagnateurs s’engagent à suivre le cursus de formation et</w:t>
      </w:r>
      <w:r w:rsidR="004F4FD3">
        <w:t>,</w:t>
      </w:r>
      <w:r>
        <w:t xml:space="preserve"> éventuellement</w:t>
      </w:r>
      <w:r w:rsidR="004F4FD3">
        <w:t>,</w:t>
      </w:r>
      <w:r>
        <w:t xml:space="preserve"> à devenir membre des jurys de certification. </w:t>
      </w:r>
    </w:p>
    <w:p w:rsidR="004C4827" w:rsidRPr="008C39F4" w:rsidRDefault="008A13C1" w:rsidP="00C17F13">
      <w:pPr>
        <w:pStyle w:val="Citationintense"/>
      </w:pPr>
      <w:bookmarkStart w:id="44" w:name="_Toc432788937"/>
      <w:r>
        <w:t xml:space="preserve">3.15 </w:t>
      </w:r>
      <w:r w:rsidR="004C4827" w:rsidRPr="008C39F4">
        <w:t>La formation à distance (FOAD)</w:t>
      </w:r>
      <w:bookmarkEnd w:id="44"/>
    </w:p>
    <w:p w:rsidR="003A1C38" w:rsidRDefault="004C4827" w:rsidP="00122AA2">
      <w:r>
        <w:t xml:space="preserve">Les signataires confient à la </w:t>
      </w:r>
      <w:r w:rsidRPr="00503FF9">
        <w:rPr>
          <w:i/>
        </w:rPr>
        <w:t>CPN EEP Formation</w:t>
      </w:r>
      <w:r>
        <w:t xml:space="preserve"> le développement et le recours à la formation à distance pour les salariés des établissements par tout moyen disponible (cours par correspondan</w:t>
      </w:r>
      <w:r w:rsidR="005C522A">
        <w:t>ces, formation en ligne, MOOC).</w:t>
      </w:r>
    </w:p>
    <w:p w:rsidR="004F4FD3" w:rsidRDefault="00620C10" w:rsidP="00122AA2">
      <w:pPr>
        <w:rPr>
          <w:szCs w:val="22"/>
          <w:lang w:eastAsia="fr-FR"/>
        </w:rPr>
      </w:pPr>
      <w:r>
        <w:rPr>
          <w:szCs w:val="22"/>
          <w:lang w:eastAsia="fr-FR"/>
        </w:rPr>
        <w:t xml:space="preserve">Les actions à l’initiative </w:t>
      </w:r>
      <w:r w:rsidR="00CF597D">
        <w:rPr>
          <w:szCs w:val="22"/>
          <w:lang w:eastAsia="fr-FR"/>
        </w:rPr>
        <w:t xml:space="preserve">exclusive </w:t>
      </w:r>
      <w:r>
        <w:rPr>
          <w:szCs w:val="22"/>
          <w:lang w:eastAsia="fr-FR"/>
        </w:rPr>
        <w:t xml:space="preserve">de l’employeur (d’adaptation ou </w:t>
      </w:r>
      <w:r w:rsidRPr="00620C10">
        <w:rPr>
          <w:szCs w:val="22"/>
          <w:lang w:eastAsia="fr-FR"/>
        </w:rPr>
        <w:t>liées à l'évolution ou au maintien dans l'emploi</w:t>
      </w:r>
      <w:r>
        <w:rPr>
          <w:szCs w:val="22"/>
          <w:lang w:eastAsia="fr-FR"/>
        </w:rPr>
        <w:t>) organisées à distance se déroulent pendant le temps de travail du salarié</w:t>
      </w:r>
      <w:r w:rsidR="004F4FD3">
        <w:rPr>
          <w:szCs w:val="22"/>
          <w:lang w:eastAsia="fr-FR"/>
        </w:rPr>
        <w:t>.</w:t>
      </w:r>
    </w:p>
    <w:p w:rsidR="00620C10" w:rsidRDefault="004F4FD3" w:rsidP="00122AA2">
      <w:r>
        <w:rPr>
          <w:szCs w:val="22"/>
          <w:lang w:eastAsia="fr-FR"/>
        </w:rPr>
        <w:t xml:space="preserve">Le </w:t>
      </w:r>
      <w:r w:rsidR="00370C50">
        <w:rPr>
          <w:szCs w:val="22"/>
          <w:lang w:eastAsia="fr-FR"/>
        </w:rPr>
        <w:t xml:space="preserve">chef d’établissement </w:t>
      </w:r>
      <w:r w:rsidR="00620C10">
        <w:rPr>
          <w:szCs w:val="22"/>
          <w:lang w:eastAsia="fr-FR"/>
        </w:rPr>
        <w:t xml:space="preserve">met </w:t>
      </w:r>
      <w:r w:rsidR="00370C50">
        <w:rPr>
          <w:szCs w:val="22"/>
          <w:lang w:eastAsia="fr-FR"/>
        </w:rPr>
        <w:t xml:space="preserve">à disposition du salarié concerné tous les moyens (organisationnels et techniques) lui permettant </w:t>
      </w:r>
      <w:r w:rsidR="00CF597D">
        <w:rPr>
          <w:szCs w:val="22"/>
          <w:lang w:eastAsia="fr-FR"/>
        </w:rPr>
        <w:t>de suivre ces formations.</w:t>
      </w:r>
    </w:p>
    <w:p w:rsidR="00E73E20" w:rsidRDefault="00E73E20">
      <w:pPr>
        <w:spacing w:line="276" w:lineRule="auto"/>
        <w:jc w:val="left"/>
      </w:pPr>
      <w:r>
        <w:br w:type="page"/>
      </w:r>
    </w:p>
    <w:p w:rsidR="004C532D" w:rsidRDefault="00E73E20" w:rsidP="00C17F13">
      <w:pPr>
        <w:pStyle w:val="Style6"/>
      </w:pPr>
      <w:bookmarkStart w:id="45" w:name="_Toc432788938"/>
      <w:r>
        <w:t>Financement de la formation professionnelle continue</w:t>
      </w:r>
      <w:bookmarkEnd w:id="45"/>
    </w:p>
    <w:p w:rsidR="00E73E20" w:rsidRDefault="008A13C1" w:rsidP="00C17F13">
      <w:pPr>
        <w:pStyle w:val="Citationintense"/>
      </w:pPr>
      <w:bookmarkStart w:id="46" w:name="_Toc432788939"/>
      <w:r>
        <w:t xml:space="preserve">4.1 </w:t>
      </w:r>
      <w:r w:rsidR="00E73E20">
        <w:t>La contribution légale obligatoire</w:t>
      </w:r>
      <w:bookmarkEnd w:id="46"/>
    </w:p>
    <w:p w:rsidR="00E73E20" w:rsidRDefault="00015937" w:rsidP="00C17F13">
      <w:pPr>
        <w:pStyle w:val="Titre1"/>
      </w:pPr>
      <w:bookmarkStart w:id="47" w:name="_Toc432788940"/>
      <w:r>
        <w:t>4.</w:t>
      </w:r>
      <w:r w:rsidR="006845A3">
        <w:t xml:space="preserve">1.1 </w:t>
      </w:r>
      <w:r w:rsidR="00E73E20">
        <w:t xml:space="preserve">Contribution des </w:t>
      </w:r>
      <w:r w:rsidR="00E67CA6">
        <w:t xml:space="preserve">structures employeur de </w:t>
      </w:r>
      <w:r w:rsidR="00E73E20">
        <w:t>moins de 10 salariés ETP</w:t>
      </w:r>
      <w:bookmarkEnd w:id="47"/>
      <w:r w:rsidR="00893DD8">
        <w:t xml:space="preserve"> </w:t>
      </w:r>
    </w:p>
    <w:p w:rsidR="00E73E20" w:rsidRDefault="00A70A4F" w:rsidP="00E73E20">
      <w:r>
        <w:t>L</w:t>
      </w:r>
      <w:r w:rsidR="00E73E20">
        <w:t xml:space="preserve">es </w:t>
      </w:r>
      <w:r w:rsidR="00AB554A">
        <w:t xml:space="preserve">structures employeur de </w:t>
      </w:r>
      <w:r w:rsidR="00E73E20">
        <w:t>moins de 10 salariés de droit privé sont tenues de verser</w:t>
      </w:r>
      <w:r>
        <w:t>, avant le 1</w:t>
      </w:r>
      <w:r w:rsidRPr="005F3002">
        <w:rPr>
          <w:vertAlign w:val="superscript"/>
        </w:rPr>
        <w:t>er</w:t>
      </w:r>
      <w:r>
        <w:t xml:space="preserve"> mars de chaque année, </w:t>
      </w:r>
      <w:r w:rsidR="00E73E20">
        <w:t xml:space="preserve">à l’OPCA </w:t>
      </w:r>
      <w:r w:rsidR="00AB554A">
        <w:t xml:space="preserve">désigné (cf. article 2.3) </w:t>
      </w:r>
      <w:r w:rsidR="00E73E20" w:rsidRPr="0084785B">
        <w:rPr>
          <w:b/>
          <w:color w:val="92CDDC" w:themeColor="accent5" w:themeTint="99"/>
        </w:rPr>
        <w:t>une contribution minimale égale à 0.55 % des rémuné</w:t>
      </w:r>
      <w:r w:rsidR="004C4827" w:rsidRPr="0084785B">
        <w:rPr>
          <w:b/>
          <w:color w:val="92CDDC" w:themeColor="accent5" w:themeTint="99"/>
        </w:rPr>
        <w:t xml:space="preserve">rations versées pendant l’année </w:t>
      </w:r>
      <w:r w:rsidR="004C4827">
        <w:t>au titre du financement de la formation professionnelle continue.</w:t>
      </w:r>
    </w:p>
    <w:p w:rsidR="00A70A4F" w:rsidRPr="00D20F24" w:rsidRDefault="00A70A4F" w:rsidP="00A70A4F">
      <w:r w:rsidRPr="00D20F24">
        <w:t>Elle est due à compter de la collecte 2016 calculée sur la masse salariale 2015.</w:t>
      </w:r>
    </w:p>
    <w:p w:rsidR="00E73E20" w:rsidRDefault="00015937" w:rsidP="00C17F13">
      <w:pPr>
        <w:pStyle w:val="Titre1"/>
      </w:pPr>
      <w:bookmarkStart w:id="48" w:name="_Toc432788941"/>
      <w:r>
        <w:t>4.</w:t>
      </w:r>
      <w:r w:rsidR="006845A3">
        <w:t xml:space="preserve">1.2 </w:t>
      </w:r>
      <w:r w:rsidR="00E73E20">
        <w:t xml:space="preserve">Contribution des </w:t>
      </w:r>
      <w:r w:rsidR="00E67CA6">
        <w:t>structures employeur de</w:t>
      </w:r>
      <w:r w:rsidR="00E73E20">
        <w:t xml:space="preserve"> plus de 10 salariés ETP</w:t>
      </w:r>
      <w:bookmarkEnd w:id="48"/>
    </w:p>
    <w:p w:rsidR="00E73E20" w:rsidRDefault="00893DD8" w:rsidP="00E73E20">
      <w:r>
        <w:t>A compter de la collecte 2016 calculée sur la masse salariale 2015</w:t>
      </w:r>
      <w:r w:rsidR="00A70A4F">
        <w:t xml:space="preserve">, </w:t>
      </w:r>
      <w:r>
        <w:t>l</w:t>
      </w:r>
      <w:r w:rsidR="00E73E20">
        <w:t xml:space="preserve">es </w:t>
      </w:r>
      <w:r w:rsidR="00AB554A">
        <w:t>structures employeur</w:t>
      </w:r>
      <w:r w:rsidR="00AB554A" w:rsidDel="00AB554A">
        <w:t xml:space="preserve"> </w:t>
      </w:r>
      <w:r w:rsidR="00AB554A">
        <w:t>de</w:t>
      </w:r>
      <w:r w:rsidR="00E73E20">
        <w:t xml:space="preserve"> plus de 10 salariés de droit privé sont tenues</w:t>
      </w:r>
      <w:r w:rsidR="00A70A4F">
        <w:t>, avant le 1</w:t>
      </w:r>
      <w:r w:rsidR="00A70A4F" w:rsidRPr="005F3002">
        <w:rPr>
          <w:vertAlign w:val="superscript"/>
        </w:rPr>
        <w:t>er</w:t>
      </w:r>
      <w:r w:rsidR="00A70A4F">
        <w:t xml:space="preserve"> mars de chaque année,</w:t>
      </w:r>
      <w:r w:rsidR="00E73E20">
        <w:t xml:space="preserve"> de verser à l’OPCA </w:t>
      </w:r>
      <w:r w:rsidR="00AB554A">
        <w:t xml:space="preserve">désigné (cf. article 2.3) </w:t>
      </w:r>
      <w:r w:rsidR="004C4827" w:rsidRPr="0084785B">
        <w:rPr>
          <w:b/>
          <w:color w:val="92CDDC" w:themeColor="accent5" w:themeTint="99"/>
        </w:rPr>
        <w:t>une contribution minimale égale à</w:t>
      </w:r>
      <w:r w:rsidR="00E73E20" w:rsidRPr="0084785B">
        <w:rPr>
          <w:b/>
          <w:color w:val="92CDDC" w:themeColor="accent5" w:themeTint="99"/>
        </w:rPr>
        <w:t xml:space="preserve"> 1 % du montant des rémunérations versées pendant l’année</w:t>
      </w:r>
      <w:r w:rsidR="004C4827" w:rsidRPr="0084785B">
        <w:rPr>
          <w:b/>
          <w:color w:val="92CDDC" w:themeColor="accent5" w:themeTint="99"/>
        </w:rPr>
        <w:t xml:space="preserve"> </w:t>
      </w:r>
      <w:r w:rsidR="004C4827">
        <w:t>au titre du financement de la formation professionnelle continue.</w:t>
      </w:r>
    </w:p>
    <w:p w:rsidR="00A70A4F" w:rsidRPr="00D20F24" w:rsidRDefault="00A70A4F" w:rsidP="00A70A4F">
      <w:r w:rsidRPr="00D20F24">
        <w:t>Elle est due à compter de la collecte 2016 calculée sur la masse salariale 2015.</w:t>
      </w:r>
    </w:p>
    <w:p w:rsidR="00E73E20" w:rsidRDefault="008A13C1" w:rsidP="00C17F13">
      <w:pPr>
        <w:pStyle w:val="Citationintense"/>
      </w:pPr>
      <w:bookmarkStart w:id="49" w:name="_Toc432788942"/>
      <w:r>
        <w:t xml:space="preserve">4.2 </w:t>
      </w:r>
      <w:r w:rsidR="00E73E20">
        <w:t>La contribution conventionnelle</w:t>
      </w:r>
      <w:r w:rsidR="0084785B">
        <w:t xml:space="preserve"> : </w:t>
      </w:r>
      <w:r w:rsidR="0084785B" w:rsidRPr="0084785B">
        <w:t>Capital Compétences – EEP Formation</w:t>
      </w:r>
      <w:bookmarkEnd w:id="49"/>
    </w:p>
    <w:p w:rsidR="002B5020" w:rsidRDefault="00E73E20" w:rsidP="002B5020">
      <w:r>
        <w:t xml:space="preserve">Soucieux d’assurer la continuité de l’effort formation dans les </w:t>
      </w:r>
      <w:r w:rsidR="00AB554A">
        <w:t xml:space="preserve">établissements </w:t>
      </w:r>
      <w:r>
        <w:t>de l’Interbranches, les partenaires sociaux décident de mettre en place une con</w:t>
      </w:r>
      <w:r w:rsidR="002B5020">
        <w:t xml:space="preserve">tribution conventionnelle obligatoire pour toutes les </w:t>
      </w:r>
      <w:r w:rsidR="00AB554A">
        <w:t xml:space="preserve">structures employeur </w:t>
      </w:r>
      <w:r w:rsidR="002B5020">
        <w:t xml:space="preserve">relevant du champ </w:t>
      </w:r>
      <w:r w:rsidR="004C4827">
        <w:t xml:space="preserve">d’application </w:t>
      </w:r>
      <w:r w:rsidR="002B5020">
        <w:t>quel que soit l</w:t>
      </w:r>
      <w:r w:rsidR="004C4827">
        <w:t xml:space="preserve">eur </w:t>
      </w:r>
      <w:r w:rsidR="002B5020">
        <w:t xml:space="preserve">effectif. </w:t>
      </w:r>
    </w:p>
    <w:p w:rsidR="00893DD8" w:rsidRPr="002622F5" w:rsidRDefault="002B5020" w:rsidP="002B5020">
      <w:r>
        <w:t xml:space="preserve">Elle est égale à </w:t>
      </w:r>
      <w:r w:rsidRPr="0084785B">
        <w:rPr>
          <w:b/>
          <w:color w:val="92CDDC" w:themeColor="accent5" w:themeTint="99"/>
        </w:rPr>
        <w:t>0.1 % de la masse salariale</w:t>
      </w:r>
      <w:r w:rsidR="00A70A4F">
        <w:rPr>
          <w:b/>
          <w:color w:val="4F81BD" w:themeColor="accent1"/>
        </w:rPr>
        <w:t xml:space="preserve"> </w:t>
      </w:r>
      <w:r w:rsidR="00A70A4F" w:rsidRPr="002622F5">
        <w:t xml:space="preserve">et </w:t>
      </w:r>
      <w:r w:rsidR="00893DD8" w:rsidRPr="002622F5">
        <w:t xml:space="preserve">due à compter de la </w:t>
      </w:r>
      <w:r w:rsidR="00893DD8" w:rsidRPr="00D20F24">
        <w:t>collecte 2016 calculée sur la masse salariale 2015.</w:t>
      </w:r>
    </w:p>
    <w:p w:rsidR="00A70A4F" w:rsidRDefault="00A70A4F" w:rsidP="00A70A4F">
      <w:r>
        <w:t>La contribution conventionnelle, versée à l’OPCA désigné, avant le 1</w:t>
      </w:r>
      <w:r w:rsidRPr="005F3002">
        <w:rPr>
          <w:vertAlign w:val="superscript"/>
        </w:rPr>
        <w:t>er</w:t>
      </w:r>
      <w:r>
        <w:t xml:space="preserve"> mars de chaque année, a pour objet la poursuite du développement de la formation professionnelle continue et la mise en œuvre de la politique formation de l’Interbranches, notamment en ce qui concerne la certification. </w:t>
      </w:r>
    </w:p>
    <w:p w:rsidR="004F4FD3" w:rsidRDefault="00E73E20" w:rsidP="00E73E20">
      <w:r>
        <w:t>Elle est mutualisée dans une section comptable à part au sein de l’OPCA désigné</w:t>
      </w:r>
      <w:r w:rsidR="004F4FD3">
        <w:t xml:space="preserve">. </w:t>
      </w:r>
    </w:p>
    <w:p w:rsidR="00E73E20" w:rsidRDefault="004F4FD3" w:rsidP="00E73E20">
      <w:r>
        <w:t>Toutefois</w:t>
      </w:r>
      <w:r w:rsidR="00A70A4F">
        <w:t xml:space="preserve">, </w:t>
      </w:r>
      <w:r w:rsidR="00E73E20">
        <w:t xml:space="preserve">elle relève de la compétence exclusive des partenaires sociaux de l’Interbranches qui décident de son usage et de sa répartition </w:t>
      </w:r>
      <w:r w:rsidR="004C4827">
        <w:t xml:space="preserve">par </w:t>
      </w:r>
      <w:r w:rsidR="00E73E20">
        <w:t xml:space="preserve">la </w:t>
      </w:r>
      <w:r w:rsidR="00E73E20" w:rsidRPr="00EC2505">
        <w:rPr>
          <w:i/>
        </w:rPr>
        <w:t>CPN EEP Formation</w:t>
      </w:r>
      <w:r w:rsidR="00E73E20">
        <w:t>.</w:t>
      </w:r>
    </w:p>
    <w:p w:rsidR="00361298" w:rsidRDefault="00361298" w:rsidP="00E73E20">
      <w:r>
        <w:t xml:space="preserve">Les fonds ainsi collectés seront gérés par la </w:t>
      </w:r>
      <w:r w:rsidRPr="00EC2505">
        <w:rPr>
          <w:i/>
        </w:rPr>
        <w:t>CPNE E</w:t>
      </w:r>
      <w:r w:rsidR="00EC2505">
        <w:rPr>
          <w:i/>
        </w:rPr>
        <w:t>EP F</w:t>
      </w:r>
      <w:r w:rsidRPr="00EC2505">
        <w:rPr>
          <w:i/>
        </w:rPr>
        <w:t>ormation</w:t>
      </w:r>
      <w:r>
        <w:t xml:space="preserve"> dans le cadre de l’enveloppe financière nommée : </w:t>
      </w:r>
      <w:r w:rsidR="00680C97" w:rsidRPr="0084785B">
        <w:rPr>
          <w:rFonts w:cstheme="minorHAnsi"/>
          <w:b/>
          <w:i/>
          <w:color w:val="92CDDC" w:themeColor="accent5" w:themeTint="99"/>
          <w:szCs w:val="22"/>
        </w:rPr>
        <w:t>Capital Compétences – EEP Formation</w:t>
      </w:r>
    </w:p>
    <w:p w:rsidR="00361298" w:rsidRDefault="00361298" w:rsidP="00361298">
      <w:r>
        <w:t>Les axes prioritaires</w:t>
      </w:r>
      <w:r w:rsidR="002C3F9B">
        <w:t xml:space="preserve"> définis sont les suivants</w:t>
      </w:r>
      <w:r>
        <w:t xml:space="preserve"> : </w:t>
      </w:r>
    </w:p>
    <w:p w:rsidR="00361298" w:rsidRPr="00A1656F" w:rsidRDefault="00AB554A" w:rsidP="00AB554A">
      <w:pPr>
        <w:pStyle w:val="Paragraphedeliste"/>
        <w:numPr>
          <w:ilvl w:val="0"/>
          <w:numId w:val="15"/>
        </w:numPr>
        <w:spacing w:after="120"/>
        <w:ind w:left="714" w:hanging="357"/>
        <w:contextualSpacing w:val="0"/>
      </w:pPr>
      <w:r>
        <w:t>f</w:t>
      </w:r>
      <w:r w:rsidR="00361298" w:rsidRPr="00A1656F">
        <w:t xml:space="preserve">inancement </w:t>
      </w:r>
      <w:r w:rsidR="00836DE4" w:rsidRPr="00A1656F">
        <w:t xml:space="preserve">de la politique </w:t>
      </w:r>
      <w:r w:rsidR="004F4FD3">
        <w:t>C</w:t>
      </w:r>
      <w:r w:rsidR="004F4FD3" w:rsidRPr="00A1656F">
        <w:t xml:space="preserve">ertification </w:t>
      </w:r>
      <w:r w:rsidR="00836DE4" w:rsidRPr="00A1656F">
        <w:t>de la branche</w:t>
      </w:r>
      <w:r w:rsidR="004E4822" w:rsidRPr="00A1656F">
        <w:t xml:space="preserve"> (</w:t>
      </w:r>
      <w:r w:rsidR="00B81BF1">
        <w:t xml:space="preserve">formation des accompagnateurs CQP, </w:t>
      </w:r>
      <w:r w:rsidR="004E4822" w:rsidRPr="00A1656F">
        <w:t xml:space="preserve">suivi et gestion des Jurys CQP, développement, </w:t>
      </w:r>
      <w:r w:rsidR="005C6CE0">
        <w:t xml:space="preserve">mise en œuvre et gestion des moyens de suivi des </w:t>
      </w:r>
      <w:r w:rsidR="004E4822" w:rsidRPr="005C6CE0">
        <w:t>CQP</w:t>
      </w:r>
      <w:r w:rsidR="004E4822" w:rsidRPr="00A1656F">
        <w:t>)</w:t>
      </w:r>
      <w:r w:rsidR="00A1656F">
        <w:t> ;</w:t>
      </w:r>
    </w:p>
    <w:p w:rsidR="00193355" w:rsidRDefault="004E6EC7" w:rsidP="007D2589">
      <w:pPr>
        <w:pStyle w:val="Paragraphedeliste"/>
        <w:numPr>
          <w:ilvl w:val="0"/>
          <w:numId w:val="15"/>
        </w:numPr>
        <w:spacing w:after="120"/>
        <w:ind w:left="714" w:hanging="357"/>
        <w:contextualSpacing w:val="0"/>
      </w:pPr>
      <w:r w:rsidRPr="004E6EC7">
        <w:t xml:space="preserve">financement des actions conduisant à la création d’un parcours formation. </w:t>
      </w:r>
    </w:p>
    <w:p w:rsidR="004E6EC7" w:rsidRDefault="004E6EC7" w:rsidP="007D2589">
      <w:pPr>
        <w:spacing w:after="120"/>
        <w:ind w:left="708"/>
      </w:pPr>
      <w:r w:rsidRPr="004E6EC7">
        <w:t xml:space="preserve">La CPN EEP établit </w:t>
      </w:r>
      <w:r w:rsidR="00C43719">
        <w:t>les modalités de mobilisation de ces fonds et contrôle leur utilisation.</w:t>
      </w:r>
    </w:p>
    <w:p w:rsidR="00AE3240" w:rsidRDefault="00E475D4" w:rsidP="00E475D4">
      <w:pPr>
        <w:rPr>
          <w:rFonts w:cstheme="minorHAnsi"/>
        </w:rPr>
      </w:pPr>
      <w:r>
        <w:rPr>
          <w:rFonts w:cstheme="minorHAnsi"/>
        </w:rPr>
        <w:t>Au regard de l’expérience, les parties examineront le principe</w:t>
      </w:r>
      <w:r w:rsidR="004F4FD3">
        <w:rPr>
          <w:rFonts w:cstheme="minorHAnsi"/>
        </w:rPr>
        <w:t xml:space="preserve"> et </w:t>
      </w:r>
      <w:r>
        <w:rPr>
          <w:rFonts w:cstheme="minorHAnsi"/>
        </w:rPr>
        <w:t xml:space="preserve">les modalités d’appel de cette contribution ainsi que son montant </w:t>
      </w:r>
      <w:r w:rsidRPr="009A2BCB">
        <w:rPr>
          <w:rFonts w:cstheme="minorHAnsi"/>
        </w:rPr>
        <w:t xml:space="preserve">dans un délai de </w:t>
      </w:r>
      <w:r>
        <w:rPr>
          <w:rFonts w:cstheme="minorHAnsi"/>
        </w:rPr>
        <w:t>3</w:t>
      </w:r>
      <w:r w:rsidRPr="009A2BCB">
        <w:rPr>
          <w:rFonts w:cstheme="minorHAnsi"/>
        </w:rPr>
        <w:t xml:space="preserve"> ans à compter de la date d’effet du présent accord</w:t>
      </w:r>
      <w:r>
        <w:rPr>
          <w:rFonts w:cstheme="minorHAnsi"/>
        </w:rPr>
        <w:t>.</w:t>
      </w:r>
    </w:p>
    <w:p w:rsidR="00134A45" w:rsidRDefault="008A13C1" w:rsidP="00C17F13">
      <w:pPr>
        <w:pStyle w:val="Citationintense"/>
      </w:pPr>
      <w:bookmarkStart w:id="50" w:name="_Toc432788943"/>
      <w:r>
        <w:t xml:space="preserve">4.3 </w:t>
      </w:r>
      <w:r w:rsidR="007B7090">
        <w:t xml:space="preserve">Participation </w:t>
      </w:r>
      <w:r w:rsidR="002D5A31">
        <w:t>volontaire</w:t>
      </w:r>
      <w:bookmarkEnd w:id="50"/>
    </w:p>
    <w:p w:rsidR="00134A45" w:rsidRDefault="007B7090" w:rsidP="00AC67AB">
      <w:pPr>
        <w:rPr>
          <w:rFonts w:cstheme="minorHAnsi"/>
        </w:rPr>
      </w:pPr>
      <w:r>
        <w:rPr>
          <w:rFonts w:cstheme="minorHAnsi"/>
        </w:rPr>
        <w:t>Chaque établissement est libre de participer au-delà des contributions légale et conventionnelle, par tout moyen, au développement de la formation professionnelle continue.</w:t>
      </w:r>
    </w:p>
    <w:p w:rsidR="00A1656F" w:rsidRDefault="00A1656F" w:rsidP="00E475D4">
      <w:r>
        <w:br w:type="page"/>
      </w:r>
    </w:p>
    <w:p w:rsidR="00A1656F" w:rsidRDefault="00A1656F" w:rsidP="00C17F13">
      <w:pPr>
        <w:pStyle w:val="Style6"/>
      </w:pPr>
      <w:bookmarkStart w:id="51" w:name="_Toc432788944"/>
      <w:r>
        <w:t>Dépôt, extension, révision, dénonciation</w:t>
      </w:r>
      <w:bookmarkEnd w:id="51"/>
      <w:r>
        <w:t xml:space="preserve"> </w:t>
      </w:r>
    </w:p>
    <w:p w:rsidR="00EC44AE" w:rsidRPr="0056028F" w:rsidRDefault="00EC44AE" w:rsidP="00C17F13">
      <w:pPr>
        <w:pStyle w:val="Citationintense"/>
      </w:pPr>
      <w:bookmarkStart w:id="52" w:name="_Toc432788945"/>
      <w:r>
        <w:t>5</w:t>
      </w:r>
      <w:r w:rsidRPr="0056028F">
        <w:t>.1 Entrée en vigueur</w:t>
      </w:r>
      <w:bookmarkEnd w:id="52"/>
      <w:r w:rsidRPr="0056028F">
        <w:t xml:space="preserve"> </w:t>
      </w:r>
    </w:p>
    <w:p w:rsidR="00EC44AE" w:rsidRDefault="00EC44AE" w:rsidP="002B3DF0">
      <w:pPr>
        <w:rPr>
          <w:rFonts w:cstheme="minorHAnsi"/>
        </w:rPr>
      </w:pPr>
      <w:r w:rsidRPr="00EC44AE">
        <w:rPr>
          <w:rFonts w:cstheme="minorHAnsi"/>
        </w:rPr>
        <w:t>Le présent accord est conclu pour une durée indéterminée.</w:t>
      </w:r>
      <w:r w:rsidR="002B3DF0">
        <w:rPr>
          <w:rFonts w:cstheme="minorHAnsi"/>
        </w:rPr>
        <w:t xml:space="preserve"> </w:t>
      </w:r>
      <w:r>
        <w:rPr>
          <w:rFonts w:cstheme="minorHAnsi"/>
        </w:rPr>
        <w:t>S</w:t>
      </w:r>
      <w:r w:rsidRPr="00EC44AE">
        <w:rPr>
          <w:rFonts w:cstheme="minorHAnsi"/>
        </w:rPr>
        <w:t>es dispositions entrent en vigueur le 1</w:t>
      </w:r>
      <w:r w:rsidR="002B3DF0" w:rsidRPr="002B3DF0">
        <w:rPr>
          <w:rFonts w:cstheme="minorHAnsi"/>
          <w:vertAlign w:val="superscript"/>
        </w:rPr>
        <w:t>er</w:t>
      </w:r>
      <w:r w:rsidR="002B3DF0" w:rsidRPr="002B3DF0">
        <w:rPr>
          <w:rFonts w:cstheme="minorHAnsi"/>
        </w:rPr>
        <w:t xml:space="preserve"> </w:t>
      </w:r>
      <w:r>
        <w:rPr>
          <w:rFonts w:cstheme="minorHAnsi"/>
        </w:rPr>
        <w:t xml:space="preserve">janvier </w:t>
      </w:r>
      <w:r w:rsidRPr="00EC44AE">
        <w:rPr>
          <w:rFonts w:cstheme="minorHAnsi"/>
        </w:rPr>
        <w:t>201</w:t>
      </w:r>
      <w:r>
        <w:rPr>
          <w:rFonts w:cstheme="minorHAnsi"/>
        </w:rPr>
        <w:t>6</w:t>
      </w:r>
      <w:r w:rsidRPr="00EC44AE">
        <w:rPr>
          <w:rFonts w:cstheme="minorHAnsi"/>
        </w:rPr>
        <w:t>.</w:t>
      </w:r>
    </w:p>
    <w:p w:rsidR="00EC44AE" w:rsidRPr="0056028F" w:rsidRDefault="00EC44AE" w:rsidP="00C17F13">
      <w:pPr>
        <w:pStyle w:val="Citationintense"/>
      </w:pPr>
      <w:bookmarkStart w:id="53" w:name="_Toc432788946"/>
      <w:r>
        <w:t>5</w:t>
      </w:r>
      <w:r w:rsidRPr="0056028F">
        <w:t>.2 Révision</w:t>
      </w:r>
      <w:bookmarkEnd w:id="53"/>
      <w:r w:rsidRPr="0056028F">
        <w:t xml:space="preserve"> </w:t>
      </w:r>
    </w:p>
    <w:p w:rsidR="00EC44AE" w:rsidRPr="00F17C40" w:rsidRDefault="00EC44AE" w:rsidP="002B3DF0">
      <w:r w:rsidRPr="00F17C40">
        <w:t xml:space="preserve">Chaque organisation représentative signataire ou ayant adhéré </w:t>
      </w:r>
      <w:r>
        <w:t xml:space="preserve">au présent accord </w:t>
      </w:r>
      <w:r w:rsidRPr="00F17C40">
        <w:t xml:space="preserve">peut demander sa révision. </w:t>
      </w:r>
    </w:p>
    <w:p w:rsidR="00EC44AE" w:rsidRPr="00F17C40" w:rsidRDefault="00EC44AE" w:rsidP="002B3DF0">
      <w:r w:rsidRPr="00285AF6">
        <w:t xml:space="preserve">La demande est adressée, par lettre recommandée avec avis de réception ou tout moyen </w:t>
      </w:r>
      <w:r w:rsidRPr="00F17C40">
        <w:t xml:space="preserve">numérique équivalent, comporte la désignation des articles visés par la demande. </w:t>
      </w:r>
    </w:p>
    <w:p w:rsidR="00EC44AE" w:rsidRPr="00F17C40" w:rsidRDefault="00EC44AE" w:rsidP="002B3DF0">
      <w:r w:rsidRPr="00F17C40">
        <w:t>Cette demande est accompagnée d’un projet de révision comportant un exposé des motifs.</w:t>
      </w:r>
    </w:p>
    <w:p w:rsidR="00EC44AE" w:rsidRPr="00F17C40" w:rsidRDefault="00EC44AE" w:rsidP="002B3DF0">
      <w:r w:rsidRPr="00F17C40">
        <w:t>Les organisations signataires ouvrent la négociation dans les 3 mois de la réception de la demande de révision.</w:t>
      </w:r>
    </w:p>
    <w:p w:rsidR="00EC44AE" w:rsidRPr="00F17C40" w:rsidRDefault="00EC44AE" w:rsidP="002B3DF0">
      <w:r w:rsidRPr="00F17C40">
        <w:t>L’éventuel avenant de révision est négocié et conclu dans les formes prévues par le Code du travail</w:t>
      </w:r>
    </w:p>
    <w:p w:rsidR="00EC44AE" w:rsidRPr="0056028F" w:rsidRDefault="00EC44AE" w:rsidP="00C17F13">
      <w:pPr>
        <w:pStyle w:val="Citationintense"/>
      </w:pPr>
      <w:bookmarkStart w:id="54" w:name="_Toc432788947"/>
      <w:r>
        <w:t>5</w:t>
      </w:r>
      <w:r w:rsidRPr="0056028F">
        <w:t>.3 Dénonciation</w:t>
      </w:r>
      <w:bookmarkEnd w:id="54"/>
      <w:r w:rsidRPr="0056028F">
        <w:t xml:space="preserve"> </w:t>
      </w:r>
    </w:p>
    <w:p w:rsidR="00EC44AE" w:rsidRPr="00F17C40" w:rsidRDefault="00EC44AE" w:rsidP="002B3DF0">
      <w:r w:rsidRPr="00F17C40">
        <w:t>Chaque organisation représentative signataire ou ayant adhéré au présent accord peut l</w:t>
      </w:r>
      <w:r>
        <w:t>e</w:t>
      </w:r>
      <w:r w:rsidRPr="00F17C40">
        <w:t xml:space="preserve"> dénoncer totalement. </w:t>
      </w:r>
    </w:p>
    <w:p w:rsidR="00EC44AE" w:rsidRPr="00F17C40" w:rsidRDefault="00EC44AE" w:rsidP="002B3DF0">
      <w:r w:rsidRPr="00F17C40">
        <w:t xml:space="preserve">L’acte de dénonciation doit être adressé par lettre recommandée avec avis de réception à chaque organisation représentative signataire ou ayant adhéré au présent accord. </w:t>
      </w:r>
    </w:p>
    <w:p w:rsidR="00EC44AE" w:rsidRPr="00F17C40" w:rsidRDefault="00EC44AE" w:rsidP="002B3DF0">
      <w:r w:rsidRPr="00F17C40">
        <w:t>La dénonciation doit donner lieu aux dépôts prévus par la loi.</w:t>
      </w:r>
    </w:p>
    <w:p w:rsidR="00EC44AE" w:rsidRPr="00F17C40" w:rsidRDefault="00EC44AE" w:rsidP="002B3DF0">
      <w:r w:rsidRPr="00F17C40">
        <w:t xml:space="preserve">L’acte de dénonciation produit ses effets après un préavis de 3 mois. </w:t>
      </w:r>
    </w:p>
    <w:p w:rsidR="00EC44AE" w:rsidRPr="00F17C40" w:rsidRDefault="00EC44AE" w:rsidP="002B3DF0">
      <w:r w:rsidRPr="00F17C40">
        <w:t xml:space="preserve">Le délai de survie mentionné ci-dessous commence à compter de la date de récépissé du dernier dépôt. </w:t>
      </w:r>
    </w:p>
    <w:p w:rsidR="00EC44AE" w:rsidRPr="00F17C40" w:rsidRDefault="00EC44AE" w:rsidP="002B3DF0">
      <w:r w:rsidRPr="00F17C40">
        <w:t xml:space="preserve">Des négociations doivent s'engager à l’issue de ce préavis. </w:t>
      </w:r>
    </w:p>
    <w:p w:rsidR="00EC44AE" w:rsidRPr="00F17C40" w:rsidRDefault="00EC44AE" w:rsidP="002B3DF0">
      <w:r>
        <w:t xml:space="preserve">Le présent accord </w:t>
      </w:r>
      <w:r w:rsidRPr="00F17C40">
        <w:t>reste en vi</w:t>
      </w:r>
      <w:r>
        <w:t xml:space="preserve">gueur jusqu'à la signature d'un accord </w:t>
      </w:r>
      <w:r w:rsidRPr="00F17C40">
        <w:t>de substitution ou, à défaut d’une telle substitution, pendant une durée de 12 mois à compter de l'expiration du délai de préavis.</w:t>
      </w:r>
    </w:p>
    <w:p w:rsidR="00EC44AE" w:rsidRPr="00A70A4F" w:rsidRDefault="00EC44AE" w:rsidP="00C17F13">
      <w:pPr>
        <w:pStyle w:val="Citationintense"/>
      </w:pPr>
      <w:bookmarkStart w:id="55" w:name="_Toc432788948"/>
      <w:r w:rsidRPr="00A70A4F">
        <w:t xml:space="preserve">4.4 Dépôt </w:t>
      </w:r>
      <w:r>
        <w:t>et demande d’extension</w:t>
      </w:r>
      <w:bookmarkEnd w:id="55"/>
    </w:p>
    <w:p w:rsidR="00EC44AE" w:rsidRPr="002B3DF0" w:rsidRDefault="00EC44AE" w:rsidP="002B3DF0">
      <w:r w:rsidRPr="00936891">
        <w:t>Le présent accord est déposé par le Collège employeur</w:t>
      </w:r>
      <w:r>
        <w:t xml:space="preserve"> </w:t>
      </w:r>
      <w:r w:rsidRPr="00936891">
        <w:t>conformément aux dispositions légales et réglementaires en vigueur.</w:t>
      </w:r>
      <w:r>
        <w:t xml:space="preserve"> Concomitamment, il fait </w:t>
      </w:r>
      <w:r w:rsidRPr="002B3DF0">
        <w:t>l’objet d’une demande d’extension.</w:t>
      </w:r>
    </w:p>
    <w:p w:rsidR="00A1656F" w:rsidRDefault="00C17F13" w:rsidP="00C17F13">
      <w:pPr>
        <w:pStyle w:val="Style6"/>
      </w:pPr>
      <w:bookmarkStart w:id="56" w:name="_Toc432788949"/>
      <w:r>
        <w:t>S</w:t>
      </w:r>
      <w:r w:rsidR="00A1656F" w:rsidRPr="00A1656F">
        <w:t>ignatures</w:t>
      </w:r>
      <w:bookmarkEnd w:id="56"/>
    </w:p>
    <w:p w:rsidR="006E6BD4" w:rsidRPr="006E6BD4" w:rsidRDefault="006E6BD4" w:rsidP="006E6BD4">
      <w:pPr>
        <w:jc w:val="right"/>
      </w:pPr>
      <w:r w:rsidRPr="006E6BD4">
        <w:t xml:space="preserve">Fait à Paris, le </w:t>
      </w:r>
      <w:r>
        <w:t>3</w:t>
      </w:r>
      <w:r w:rsidRPr="006E6BD4">
        <w:t xml:space="preserve"> novembre 2015</w:t>
      </w:r>
    </w:p>
    <w:tbl>
      <w:tblPr>
        <w:tblW w:w="4953" w:type="pct"/>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43"/>
        <w:gridCol w:w="4941"/>
      </w:tblGrid>
      <w:tr w:rsidR="00C17F13" w:rsidRPr="002B3DF0" w:rsidTr="00C17F13">
        <w:trPr>
          <w:cantSplit/>
          <w:trHeight w:val="907"/>
          <w:jc w:val="right"/>
        </w:trPr>
        <w:tc>
          <w:tcPr>
            <w:tcW w:w="2449" w:type="pct"/>
            <w:tcBorders>
              <w:top w:val="single" w:sz="4" w:space="0" w:color="auto"/>
              <w:bottom w:val="single" w:sz="4" w:space="0" w:color="auto"/>
              <w:right w:val="single" w:sz="4" w:space="0" w:color="auto"/>
            </w:tcBorders>
            <w:shd w:val="clear" w:color="auto" w:fill="92CDDC" w:themeFill="accent5" w:themeFillTint="99"/>
            <w:tcMar>
              <w:top w:w="0" w:type="dxa"/>
              <w:left w:w="15" w:type="dxa"/>
              <w:bottom w:w="0" w:type="dxa"/>
              <w:right w:w="15" w:type="dxa"/>
            </w:tcMar>
            <w:vAlign w:val="center"/>
          </w:tcPr>
          <w:p w:rsidR="00355AC6" w:rsidRPr="002B3DF0" w:rsidRDefault="00355AC6" w:rsidP="00C17F13">
            <w:pPr>
              <w:spacing w:after="0"/>
              <w:jc w:val="center"/>
              <w:rPr>
                <w:rFonts w:ascii="Calibri" w:eastAsia="Calibri" w:hAnsi="Calibri"/>
                <w:color w:val="FFFFFF" w:themeColor="background1"/>
              </w:rPr>
            </w:pPr>
            <w:r w:rsidRPr="00355AC6">
              <w:rPr>
                <w:color w:val="FFFFFF" w:themeColor="background1"/>
              </w:rPr>
              <w:t>Collège des employeurs</w:t>
            </w:r>
          </w:p>
        </w:tc>
        <w:tc>
          <w:tcPr>
            <w:tcW w:w="2551" w:type="pct"/>
            <w:tcBorders>
              <w:top w:val="single" w:sz="4" w:space="0" w:color="auto"/>
              <w:left w:val="single" w:sz="4" w:space="0" w:color="auto"/>
              <w:bottom w:val="single" w:sz="4" w:space="0" w:color="auto"/>
            </w:tcBorders>
            <w:shd w:val="clear" w:color="auto" w:fill="92CDDC" w:themeFill="accent5" w:themeFillTint="99"/>
            <w:tcMar>
              <w:top w:w="0" w:type="dxa"/>
              <w:left w:w="15" w:type="dxa"/>
              <w:bottom w:w="0" w:type="dxa"/>
              <w:right w:w="15" w:type="dxa"/>
            </w:tcMar>
            <w:vAlign w:val="center"/>
          </w:tcPr>
          <w:p w:rsidR="00355AC6" w:rsidRPr="002B3DF0" w:rsidRDefault="00355AC6" w:rsidP="00C17F13">
            <w:pPr>
              <w:spacing w:after="0"/>
              <w:jc w:val="center"/>
              <w:rPr>
                <w:rFonts w:ascii="Calibri" w:eastAsia="Calibri" w:hAnsi="Calibri" w:cs="Arial"/>
                <w:color w:val="FFFFFF" w:themeColor="background1"/>
                <w:lang w:val="nl-NL"/>
              </w:rPr>
            </w:pPr>
            <w:r w:rsidRPr="00355AC6">
              <w:rPr>
                <w:color w:val="FFFFFF" w:themeColor="background1"/>
              </w:rPr>
              <w:t>Collège salarié</w:t>
            </w:r>
          </w:p>
        </w:tc>
      </w:tr>
      <w:tr w:rsidR="00355AC6" w:rsidRPr="00312371" w:rsidTr="002B3DF0">
        <w:trPr>
          <w:cantSplit/>
          <w:trHeight w:val="907"/>
          <w:jc w:val="right"/>
        </w:trPr>
        <w:tc>
          <w:tcPr>
            <w:tcW w:w="2449" w:type="pct"/>
            <w:vMerge w:val="restart"/>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rPr>
            </w:pPr>
            <w:r w:rsidRPr="00312371">
              <w:rPr>
                <w:rFonts w:ascii="Calibri" w:eastAsia="Calibri" w:hAnsi="Calibri"/>
              </w:rPr>
              <w:t>Le Collège employeur</w:t>
            </w:r>
          </w:p>
          <w:p w:rsidR="001745C0" w:rsidRPr="002B3DF0" w:rsidRDefault="001745C0" w:rsidP="00C17F13">
            <w:pPr>
              <w:spacing w:after="0"/>
              <w:jc w:val="center"/>
              <w:rPr>
                <w:rFonts w:ascii="Calibri" w:eastAsia="Calibri" w:hAnsi="Calibri"/>
                <w:sz w:val="20"/>
                <w:szCs w:val="20"/>
              </w:rPr>
            </w:pPr>
            <w:r w:rsidRPr="002B3DF0">
              <w:rPr>
                <w:rFonts w:ascii="Calibri" w:eastAsia="Calibri" w:hAnsi="Calibri"/>
                <w:sz w:val="20"/>
                <w:szCs w:val="20"/>
              </w:rPr>
              <w:t>(FNOGEC, SNCEEL, SYNADEC, SYNADIC, UNETP)</w:t>
            </w: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nl-NL"/>
              </w:rPr>
            </w:pPr>
            <w:r w:rsidRPr="00312371">
              <w:rPr>
                <w:rFonts w:ascii="Calibri" w:eastAsia="Calibri" w:hAnsi="Calibri" w:cs="Arial"/>
                <w:lang w:val="nl-NL"/>
              </w:rPr>
              <w:t>FEP-CFDT</w:t>
            </w:r>
          </w:p>
        </w:tc>
      </w:tr>
      <w:tr w:rsidR="00355AC6" w:rsidRPr="00312371" w:rsidTr="002B3DF0">
        <w:trPr>
          <w:cantSplit/>
          <w:trHeight w:val="907"/>
          <w:jc w:val="right"/>
        </w:trPr>
        <w:tc>
          <w:tcPr>
            <w:tcW w:w="2449" w:type="pct"/>
            <w:vMerge/>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rPr>
            </w:pP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r w:rsidRPr="00312371">
              <w:rPr>
                <w:rFonts w:ascii="Calibri" w:eastAsia="Calibri" w:hAnsi="Calibri" w:cs="Arial"/>
                <w:lang w:val="en-GB"/>
              </w:rPr>
              <w:t>FNEC-FP/FO</w:t>
            </w:r>
          </w:p>
        </w:tc>
      </w:tr>
      <w:tr w:rsidR="00355AC6" w:rsidRPr="00312371" w:rsidTr="002B3DF0">
        <w:trPr>
          <w:cantSplit/>
          <w:trHeight w:val="907"/>
          <w:jc w:val="right"/>
        </w:trPr>
        <w:tc>
          <w:tcPr>
            <w:tcW w:w="2449" w:type="pct"/>
            <w:vMerge w:val="restart"/>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rPr>
            </w:pPr>
            <w:r w:rsidRPr="00312371">
              <w:rPr>
                <w:rFonts w:ascii="Calibri" w:eastAsia="Calibri" w:hAnsi="Calibri"/>
              </w:rPr>
              <w:t>EPLC</w:t>
            </w: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r w:rsidRPr="00312371">
              <w:rPr>
                <w:rFonts w:ascii="Calibri" w:eastAsia="Calibri" w:hAnsi="Calibri" w:cs="Arial"/>
                <w:lang w:val="en-GB"/>
              </w:rPr>
              <w:t>Snec-CFTC</w:t>
            </w:r>
          </w:p>
        </w:tc>
      </w:tr>
      <w:tr w:rsidR="00355AC6" w:rsidRPr="00312371" w:rsidTr="002B3DF0">
        <w:trPr>
          <w:cantSplit/>
          <w:trHeight w:val="907"/>
          <w:jc w:val="right"/>
        </w:trPr>
        <w:tc>
          <w:tcPr>
            <w:tcW w:w="2449" w:type="pct"/>
            <w:vMerge/>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nl-NL"/>
              </w:rPr>
            </w:pP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rPr>
            </w:pPr>
            <w:r w:rsidRPr="00312371">
              <w:rPr>
                <w:rFonts w:ascii="Calibri" w:eastAsia="Calibri" w:hAnsi="Calibri" w:cs="Arial"/>
              </w:rPr>
              <w:t>SNEIP-CGT</w:t>
            </w:r>
          </w:p>
        </w:tc>
      </w:tr>
      <w:tr w:rsidR="00355AC6" w:rsidRPr="00312371" w:rsidTr="002B3DF0">
        <w:trPr>
          <w:cantSplit/>
          <w:trHeight w:val="907"/>
          <w:jc w:val="right"/>
        </w:trPr>
        <w:tc>
          <w:tcPr>
            <w:tcW w:w="2449" w:type="pct"/>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nl-NL"/>
              </w:rPr>
            </w:pPr>
            <w:r w:rsidRPr="00312371">
              <w:rPr>
                <w:rFonts w:ascii="Calibri" w:eastAsia="Calibri" w:hAnsi="Calibri"/>
              </w:rPr>
              <w:t>FFNEAP</w:t>
            </w: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r w:rsidRPr="00312371">
              <w:rPr>
                <w:rFonts w:ascii="Calibri" w:eastAsia="Calibri" w:hAnsi="Calibri"/>
                <w:lang w:val="en-GB"/>
              </w:rPr>
              <w:t>SNEPL – CFTC</w:t>
            </w:r>
          </w:p>
        </w:tc>
      </w:tr>
      <w:tr w:rsidR="00355AC6" w:rsidRPr="00312371" w:rsidTr="002B3DF0">
        <w:trPr>
          <w:cantSplit/>
          <w:trHeight w:val="907"/>
          <w:jc w:val="right"/>
        </w:trPr>
        <w:tc>
          <w:tcPr>
            <w:tcW w:w="2449" w:type="pct"/>
            <w:vMerge w:val="restart"/>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r w:rsidRPr="00312371">
              <w:rPr>
                <w:rFonts w:ascii="Calibri" w:eastAsia="Calibri" w:hAnsi="Calibri"/>
              </w:rPr>
              <w:t>UNEAP</w:t>
            </w:r>
          </w:p>
        </w:tc>
        <w:tc>
          <w:tcPr>
            <w:tcW w:w="2551" w:type="pct"/>
            <w:tcBorders>
              <w:top w:val="nil"/>
              <w:left w:val="single" w:sz="4" w:space="0" w:color="auto"/>
              <w:bottom w:val="nil"/>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r w:rsidRPr="00312371">
              <w:rPr>
                <w:rFonts w:ascii="Calibri" w:eastAsia="Calibri" w:hAnsi="Calibri" w:cs="Arial"/>
                <w:lang w:val="en-GB"/>
              </w:rPr>
              <w:t>SPELC</w:t>
            </w:r>
          </w:p>
        </w:tc>
      </w:tr>
      <w:tr w:rsidR="00355AC6" w:rsidRPr="00312371" w:rsidTr="002B3DF0">
        <w:trPr>
          <w:cantSplit/>
          <w:trHeight w:val="907"/>
          <w:jc w:val="right"/>
        </w:trPr>
        <w:tc>
          <w:tcPr>
            <w:tcW w:w="2449" w:type="pct"/>
            <w:vMerge/>
            <w:tcBorders>
              <w:right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lang w:val="en-GB"/>
              </w:rPr>
            </w:pPr>
          </w:p>
        </w:tc>
        <w:tc>
          <w:tcPr>
            <w:tcW w:w="2551" w:type="pct"/>
            <w:tcBorders>
              <w:top w:val="nil"/>
              <w:left w:val="single" w:sz="4" w:space="0" w:color="auto"/>
              <w:bottom w:val="single" w:sz="4" w:space="0" w:color="auto"/>
            </w:tcBorders>
            <w:tcMar>
              <w:top w:w="0" w:type="dxa"/>
              <w:left w:w="15" w:type="dxa"/>
              <w:bottom w:w="0" w:type="dxa"/>
              <w:right w:w="15" w:type="dxa"/>
            </w:tcMar>
            <w:vAlign w:val="center"/>
          </w:tcPr>
          <w:p w:rsidR="001745C0" w:rsidRPr="00312371" w:rsidRDefault="001745C0" w:rsidP="00C17F13">
            <w:pPr>
              <w:spacing w:after="0"/>
              <w:jc w:val="center"/>
              <w:rPr>
                <w:rFonts w:ascii="Calibri" w:eastAsia="Calibri" w:hAnsi="Calibri" w:cs="Arial"/>
              </w:rPr>
            </w:pPr>
            <w:r w:rsidRPr="00312371">
              <w:rPr>
                <w:rFonts w:ascii="Calibri" w:eastAsia="Calibri" w:hAnsi="Calibri" w:cs="Arial"/>
                <w:lang w:val="en-GB"/>
              </w:rPr>
              <w:t>SYNEP CFE-CGC</w:t>
            </w:r>
          </w:p>
        </w:tc>
      </w:tr>
    </w:tbl>
    <w:p w:rsidR="001745C0" w:rsidRDefault="001745C0" w:rsidP="009F7E72">
      <w:pPr>
        <w:spacing w:line="276" w:lineRule="auto"/>
        <w:jc w:val="center"/>
      </w:pPr>
    </w:p>
    <w:p w:rsidR="00EC44AE" w:rsidRDefault="00EC44AE">
      <w:pPr>
        <w:spacing w:line="276" w:lineRule="auto"/>
        <w:jc w:val="left"/>
        <w:rPr>
          <w:rFonts w:eastAsiaTheme="majorEastAsia" w:cstheme="majorBidi"/>
          <w:b/>
          <w:i/>
          <w:iCs/>
          <w:color w:val="4F81BD" w:themeColor="accent1"/>
          <w:sz w:val="24"/>
          <w:szCs w:val="26"/>
        </w:rPr>
      </w:pPr>
      <w:r>
        <w:br w:type="page"/>
      </w:r>
    </w:p>
    <w:p w:rsidR="00887228" w:rsidRPr="00887228" w:rsidRDefault="002D3D55" w:rsidP="00A7502F">
      <w:pPr>
        <w:pStyle w:val="Style6"/>
        <w:numPr>
          <w:ilvl w:val="0"/>
          <w:numId w:val="0"/>
        </w:numPr>
        <w:ind w:left="360"/>
      </w:pPr>
      <w:bookmarkStart w:id="57" w:name="_Toc432788950"/>
      <w:r w:rsidRPr="00A7502F">
        <w:t>Annexe 1</w:t>
      </w:r>
      <w:r w:rsidRPr="00887228">
        <w:t xml:space="preserve"> : </w:t>
      </w:r>
      <w:r w:rsidR="00887228" w:rsidRPr="00887228">
        <w:t xml:space="preserve">Modalités d’élaboration des </w:t>
      </w:r>
      <w:r w:rsidRPr="00887228">
        <w:t xml:space="preserve">Certificats de Qualification Professionnelle </w:t>
      </w:r>
      <w:r w:rsidR="00887228" w:rsidRPr="00887228">
        <w:t>(CQP)</w:t>
      </w:r>
      <w:bookmarkEnd w:id="57"/>
    </w:p>
    <w:p w:rsidR="00A11373" w:rsidRDefault="00A11373" w:rsidP="00A11373">
      <w:r>
        <w:t>Les signataires s’accordent sur les objectifs suivants concernant le développement des CQP dans l’Interbranches :</w:t>
      </w:r>
    </w:p>
    <w:p w:rsidR="00A11373" w:rsidRDefault="00A11373" w:rsidP="00AB554A">
      <w:pPr>
        <w:pStyle w:val="Paragraphedeliste"/>
        <w:numPr>
          <w:ilvl w:val="0"/>
          <w:numId w:val="11"/>
        </w:numPr>
      </w:pPr>
      <w:r>
        <w:t>reconnaître et asseoir des connaissances, des savoir-faire et des compétences des salariés ;</w:t>
      </w:r>
    </w:p>
    <w:p w:rsidR="00A11373" w:rsidRDefault="00A11373" w:rsidP="00AB554A">
      <w:pPr>
        <w:pStyle w:val="Paragraphedeliste"/>
        <w:numPr>
          <w:ilvl w:val="0"/>
          <w:numId w:val="11"/>
        </w:numPr>
      </w:pPr>
      <w:r>
        <w:t>développer des compétences en lien avec un métier ;</w:t>
      </w:r>
    </w:p>
    <w:p w:rsidR="00A11373" w:rsidRDefault="00A11373" w:rsidP="00AB554A">
      <w:pPr>
        <w:pStyle w:val="Paragraphedeliste"/>
        <w:numPr>
          <w:ilvl w:val="0"/>
          <w:numId w:val="11"/>
        </w:numPr>
      </w:pPr>
      <w:r>
        <w:t>favoriser les projets d’évolution et la mobilité professionnelle.</w:t>
      </w:r>
    </w:p>
    <w:p w:rsidR="00A11373" w:rsidRDefault="00A11373" w:rsidP="00A11373">
      <w:r>
        <w:t>Les voies d’accès au CQP sont les suivantes :</w:t>
      </w:r>
    </w:p>
    <w:p w:rsidR="00A11373" w:rsidRDefault="00A11373" w:rsidP="00A11373">
      <w:r w:rsidRPr="0060563A">
        <w:rPr>
          <w:noProof/>
          <w:lang w:eastAsia="fr-FR"/>
        </w:rPr>
        <w:drawing>
          <wp:inline distT="0" distB="0" distL="0" distR="0" wp14:anchorId="60762556" wp14:editId="2F8333B4">
            <wp:extent cx="5391509" cy="2941608"/>
            <wp:effectExtent l="0" t="38100" r="57150" b="4953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11373" w:rsidRDefault="00A11373" w:rsidP="00A11373">
      <w:r>
        <w:t xml:space="preserve">Les signataires du présent accord confient à la </w:t>
      </w:r>
      <w:r w:rsidRPr="00AB554A">
        <w:rPr>
          <w:i/>
        </w:rPr>
        <w:t>CPN EEP formation</w:t>
      </w:r>
      <w:r>
        <w:t xml:space="preserve"> le soin de communiquer par tout moyen possible (site internet, guide) la valorisation et la promotion de sa politique certification. </w:t>
      </w:r>
    </w:p>
    <w:p w:rsidR="00A11373" w:rsidRPr="0029166D" w:rsidRDefault="00A11373" w:rsidP="00A11373">
      <w:pPr>
        <w:rPr>
          <w:szCs w:val="22"/>
        </w:rPr>
      </w:pPr>
      <w:r w:rsidRPr="0029166D">
        <w:rPr>
          <w:szCs w:val="22"/>
        </w:rPr>
        <w:t>Le dispositif de construction du CQP est le suivant :</w:t>
      </w:r>
    </w:p>
    <w:p w:rsidR="00A11373" w:rsidRPr="00875E95" w:rsidRDefault="00A11373" w:rsidP="00AB554A">
      <w:pPr>
        <w:numPr>
          <w:ilvl w:val="0"/>
          <w:numId w:val="19"/>
        </w:numPr>
        <w:spacing w:after="0"/>
        <w:rPr>
          <w:szCs w:val="22"/>
        </w:rPr>
      </w:pPr>
      <w:r w:rsidRPr="00875E95">
        <w:rPr>
          <w:szCs w:val="22"/>
        </w:rPr>
        <w:t>Etude d’opportunité</w:t>
      </w:r>
    </w:p>
    <w:p w:rsidR="00A11373" w:rsidRPr="00875E95" w:rsidRDefault="00A11373" w:rsidP="00AB554A">
      <w:pPr>
        <w:numPr>
          <w:ilvl w:val="0"/>
          <w:numId w:val="19"/>
        </w:numPr>
        <w:spacing w:after="0"/>
        <w:rPr>
          <w:szCs w:val="22"/>
        </w:rPr>
      </w:pPr>
      <w:r w:rsidRPr="00875E95">
        <w:rPr>
          <w:szCs w:val="22"/>
        </w:rPr>
        <w:t>Création du référentiel d’activités et de compétences et du référentiel de certification (travaux de l’Observatoire)</w:t>
      </w:r>
    </w:p>
    <w:p w:rsidR="00A11373" w:rsidRPr="00875E95" w:rsidRDefault="00A11373" w:rsidP="00AB554A">
      <w:pPr>
        <w:numPr>
          <w:ilvl w:val="0"/>
          <w:numId w:val="19"/>
        </w:numPr>
        <w:spacing w:after="0"/>
        <w:rPr>
          <w:szCs w:val="22"/>
        </w:rPr>
      </w:pPr>
      <w:r w:rsidRPr="00875E95">
        <w:rPr>
          <w:szCs w:val="22"/>
        </w:rPr>
        <w:t xml:space="preserve">Présentation du projet de référentiels à la </w:t>
      </w:r>
      <w:r w:rsidRPr="00875E95">
        <w:rPr>
          <w:i/>
          <w:szCs w:val="22"/>
        </w:rPr>
        <w:t>CPN EEP Formation</w:t>
      </w:r>
      <w:r w:rsidRPr="00875E95">
        <w:rPr>
          <w:szCs w:val="22"/>
        </w:rPr>
        <w:t xml:space="preserve"> et validation des référentiels ;</w:t>
      </w:r>
    </w:p>
    <w:p w:rsidR="00A11373" w:rsidRPr="00875E95" w:rsidRDefault="00A11373" w:rsidP="00AB554A">
      <w:pPr>
        <w:numPr>
          <w:ilvl w:val="0"/>
          <w:numId w:val="19"/>
        </w:numPr>
        <w:spacing w:after="0"/>
        <w:rPr>
          <w:szCs w:val="22"/>
        </w:rPr>
      </w:pPr>
      <w:r w:rsidRPr="00875E95">
        <w:rPr>
          <w:szCs w:val="22"/>
        </w:rPr>
        <w:t xml:space="preserve">Négociation et signature d’un accord de création de CQP (annexé au présent accord). </w:t>
      </w:r>
    </w:p>
    <w:p w:rsidR="00A11373" w:rsidRPr="00875E95" w:rsidRDefault="00A11373" w:rsidP="00A11373">
      <w:pPr>
        <w:spacing w:after="0"/>
        <w:ind w:left="720"/>
        <w:rPr>
          <w:szCs w:val="22"/>
        </w:rPr>
      </w:pPr>
      <w:r w:rsidRPr="00875E95">
        <w:rPr>
          <w:szCs w:val="22"/>
        </w:rPr>
        <w:t>Cet accord comporte au minimum (la définition succincte du métier et compétences clé, ses m</w:t>
      </w:r>
      <w:r w:rsidRPr="00875E95">
        <w:t xml:space="preserve">odalités d’accès au CQP, les éventuels prérequis du candidat et de l’accompagnateur). Un accord de branche peut prévoir le niveau de classification auquel le titulaire </w:t>
      </w:r>
      <w:r w:rsidRPr="00875E95">
        <w:rPr>
          <w:rFonts w:eastAsia="Calibri"/>
        </w:rPr>
        <w:t>du CQP accède ;</w:t>
      </w:r>
    </w:p>
    <w:p w:rsidR="00A11373" w:rsidRPr="00875E95" w:rsidRDefault="00A11373" w:rsidP="00AB554A">
      <w:pPr>
        <w:numPr>
          <w:ilvl w:val="0"/>
          <w:numId w:val="19"/>
        </w:numPr>
        <w:spacing w:after="0"/>
        <w:rPr>
          <w:szCs w:val="22"/>
        </w:rPr>
      </w:pPr>
      <w:r w:rsidRPr="00875E95">
        <w:rPr>
          <w:szCs w:val="22"/>
        </w:rPr>
        <w:t>Développement des outils d’évaluation des compétences mis en relation avec des experts métiers ;</w:t>
      </w:r>
    </w:p>
    <w:p w:rsidR="00A11373" w:rsidRPr="00875E95" w:rsidRDefault="00A11373" w:rsidP="00AB554A">
      <w:pPr>
        <w:numPr>
          <w:ilvl w:val="0"/>
          <w:numId w:val="19"/>
        </w:numPr>
        <w:spacing w:after="0"/>
        <w:rPr>
          <w:szCs w:val="22"/>
        </w:rPr>
      </w:pPr>
      <w:r w:rsidRPr="00875E95">
        <w:rPr>
          <w:szCs w:val="22"/>
        </w:rPr>
        <w:t>Lancement d’appels d’offre pour choisir les prestataires ;</w:t>
      </w:r>
    </w:p>
    <w:p w:rsidR="00A11373" w:rsidRPr="00875E95" w:rsidRDefault="00A11373" w:rsidP="00AB554A">
      <w:pPr>
        <w:numPr>
          <w:ilvl w:val="0"/>
          <w:numId w:val="19"/>
        </w:numPr>
        <w:spacing w:after="0"/>
        <w:rPr>
          <w:szCs w:val="22"/>
        </w:rPr>
      </w:pPr>
      <w:r w:rsidRPr="00875E95">
        <w:rPr>
          <w:szCs w:val="22"/>
        </w:rPr>
        <w:t>Présentation des supports, outils et des demandes d’habilitation des organismes aux partenaires sociaux de la branche et validation du dispositif ;</w:t>
      </w:r>
    </w:p>
    <w:p w:rsidR="00A11373" w:rsidRPr="00875E95" w:rsidRDefault="00A11373" w:rsidP="00AB554A">
      <w:pPr>
        <w:numPr>
          <w:ilvl w:val="0"/>
          <w:numId w:val="19"/>
        </w:numPr>
        <w:spacing w:after="0"/>
      </w:pPr>
      <w:r w:rsidRPr="00875E95">
        <w:rPr>
          <w:szCs w:val="22"/>
        </w:rPr>
        <w:t>Mise en œuvre des premiers parcours certifiants ;</w:t>
      </w:r>
    </w:p>
    <w:p w:rsidR="002D3D55" w:rsidRPr="00887228" w:rsidRDefault="00A11373" w:rsidP="00AB554A">
      <w:pPr>
        <w:numPr>
          <w:ilvl w:val="0"/>
          <w:numId w:val="19"/>
        </w:numPr>
        <w:spacing w:after="0"/>
        <w:rPr>
          <w:i/>
          <w:iCs/>
        </w:rPr>
      </w:pPr>
      <w:r w:rsidRPr="00875E95">
        <w:rPr>
          <w:szCs w:val="22"/>
        </w:rPr>
        <w:t xml:space="preserve">Inscription éventuelle du CQP au Répertoire National des Certifications Professionnelles (RNCP) par </w:t>
      </w:r>
      <w:r w:rsidRPr="00875E95">
        <w:rPr>
          <w:iCs/>
        </w:rPr>
        <w:t xml:space="preserve">la </w:t>
      </w:r>
      <w:r w:rsidRPr="00875E95">
        <w:rPr>
          <w:i/>
          <w:iCs/>
        </w:rPr>
        <w:t>CPN EEP Formation.</w:t>
      </w:r>
    </w:p>
    <w:sectPr w:rsidR="002D3D55" w:rsidRPr="00887228" w:rsidSect="00887228">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9B" w:rsidRDefault="00B72F9B" w:rsidP="00144E56">
      <w:pPr>
        <w:spacing w:after="0"/>
      </w:pPr>
      <w:r>
        <w:separator/>
      </w:r>
    </w:p>
  </w:endnote>
  <w:endnote w:type="continuationSeparator" w:id="0">
    <w:p w:rsidR="00B72F9B" w:rsidRDefault="00B72F9B" w:rsidP="00144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4D"/>
    <w:family w:val="auto"/>
    <w:notTrueType/>
    <w:pitch w:val="default"/>
    <w:sig w:usb0="03000000"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F81BD" w:themeColor="accent1"/>
        <w:sz w:val="16"/>
        <w:szCs w:val="16"/>
      </w:rPr>
      <w:id w:val="-1096087463"/>
      <w:docPartObj>
        <w:docPartGallery w:val="Page Numbers (Bottom of Page)"/>
        <w:docPartUnique/>
      </w:docPartObj>
    </w:sdtPr>
    <w:sdtEndPr>
      <w:rPr>
        <w:spacing w:val="60"/>
      </w:rPr>
    </w:sdtEndPr>
    <w:sdtContent>
      <w:p w:rsidR="00193355" w:rsidRPr="00693DE3" w:rsidRDefault="00193355" w:rsidP="00050928">
        <w:pPr>
          <w:pStyle w:val="Pieddepage"/>
          <w:pBdr>
            <w:top w:val="single" w:sz="4" w:space="1" w:color="D9D9D9" w:themeColor="background1" w:themeShade="D9"/>
          </w:pBdr>
          <w:jc w:val="right"/>
          <w:rPr>
            <w:b/>
            <w:bCs/>
            <w:color w:val="4F81BD" w:themeColor="accent1"/>
            <w:sz w:val="16"/>
            <w:szCs w:val="16"/>
          </w:rPr>
        </w:pPr>
        <w:r w:rsidRPr="00693DE3">
          <w:rPr>
            <w:color w:val="4F81BD" w:themeColor="accent1"/>
            <w:sz w:val="16"/>
            <w:szCs w:val="16"/>
          </w:rPr>
          <w:fldChar w:fldCharType="begin"/>
        </w:r>
        <w:r w:rsidRPr="00693DE3">
          <w:rPr>
            <w:color w:val="4F81BD" w:themeColor="accent1"/>
            <w:sz w:val="16"/>
            <w:szCs w:val="16"/>
          </w:rPr>
          <w:instrText>PAGE   \* MERGEFORMAT</w:instrText>
        </w:r>
        <w:r w:rsidRPr="00693DE3">
          <w:rPr>
            <w:color w:val="4F81BD" w:themeColor="accent1"/>
            <w:sz w:val="16"/>
            <w:szCs w:val="16"/>
          </w:rPr>
          <w:fldChar w:fldCharType="separate"/>
        </w:r>
        <w:r w:rsidR="00D345CE" w:rsidRPr="00D345CE">
          <w:rPr>
            <w:b/>
            <w:bCs/>
            <w:noProof/>
            <w:color w:val="4F81BD" w:themeColor="accent1"/>
            <w:sz w:val="16"/>
            <w:szCs w:val="16"/>
          </w:rPr>
          <w:t>2</w:t>
        </w:r>
        <w:r w:rsidRPr="00693DE3">
          <w:rPr>
            <w:b/>
            <w:bCs/>
            <w:color w:val="4F81BD" w:themeColor="accent1"/>
            <w:sz w:val="16"/>
            <w:szCs w:val="16"/>
          </w:rPr>
          <w:fldChar w:fldCharType="end"/>
        </w:r>
        <w:r w:rsidRPr="00693DE3">
          <w:rPr>
            <w:b/>
            <w:bCs/>
            <w:color w:val="4F81BD" w:themeColor="accent1"/>
            <w:sz w:val="16"/>
            <w:szCs w:val="16"/>
          </w:rPr>
          <w:t xml:space="preserve"> | </w:t>
        </w:r>
        <w:r w:rsidRPr="00693DE3">
          <w:rPr>
            <w:color w:val="4F81BD" w:themeColor="accent1"/>
            <w:spacing w:val="60"/>
            <w:sz w:val="16"/>
            <w:szCs w:val="16"/>
          </w:rPr>
          <w:t>Page</w:t>
        </w:r>
      </w:p>
    </w:sdtContent>
  </w:sdt>
  <w:p w:rsidR="00193355" w:rsidRPr="00C17F13" w:rsidRDefault="00193355">
    <w:pPr>
      <w:pStyle w:val="Pieddepage"/>
      <w:rPr>
        <w:color w:val="92CDDC" w:themeColor="accent5" w:themeTint="99"/>
        <w:spacing w:val="60"/>
        <w:sz w:val="16"/>
        <w:szCs w:val="16"/>
      </w:rPr>
    </w:pPr>
    <w:r w:rsidRPr="00C17F13">
      <w:rPr>
        <w:color w:val="92CDDC" w:themeColor="accent5" w:themeTint="99"/>
        <w:spacing w:val="60"/>
        <w:sz w:val="16"/>
        <w:szCs w:val="16"/>
      </w:rPr>
      <w:t>Accord Interbranches sur l’emploi et la formation professionnelle dans les Etablissements d’Enseignement Pri</w:t>
    </w:r>
    <w:r>
      <w:rPr>
        <w:color w:val="92CDDC" w:themeColor="accent5" w:themeTint="99"/>
        <w:spacing w:val="60"/>
        <w:sz w:val="16"/>
        <w:szCs w:val="16"/>
      </w:rPr>
      <w:t>vés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9B" w:rsidRDefault="00B72F9B" w:rsidP="00144E56">
      <w:pPr>
        <w:spacing w:after="0"/>
      </w:pPr>
      <w:r>
        <w:separator/>
      </w:r>
    </w:p>
  </w:footnote>
  <w:footnote w:type="continuationSeparator" w:id="0">
    <w:p w:rsidR="00B72F9B" w:rsidRDefault="00B72F9B" w:rsidP="00144E56">
      <w:pPr>
        <w:spacing w:after="0"/>
      </w:pPr>
      <w:r>
        <w:continuationSeparator/>
      </w:r>
    </w:p>
  </w:footnote>
  <w:footnote w:id="1">
    <w:p w:rsidR="00193355" w:rsidRPr="00DD4CEB" w:rsidRDefault="00193355">
      <w:pPr>
        <w:pStyle w:val="Notedebasdepage"/>
        <w:rPr>
          <w:lang w:val="en-US"/>
        </w:rPr>
      </w:pPr>
      <w:r>
        <w:rPr>
          <w:rStyle w:val="Appelnotedebasdep"/>
        </w:rPr>
        <w:footnoteRef/>
      </w:r>
      <w:r w:rsidRPr="00DD4CEB">
        <w:rPr>
          <w:lang w:val="en-US"/>
        </w:rPr>
        <w:t xml:space="preserve"> Notamment C. trav. art. D. 2323-5</w:t>
      </w:r>
    </w:p>
  </w:footnote>
  <w:footnote w:id="2">
    <w:p w:rsidR="00193355" w:rsidRDefault="00193355">
      <w:pPr>
        <w:pStyle w:val="Notedebasdepage"/>
      </w:pPr>
      <w:r>
        <w:rPr>
          <w:rStyle w:val="Appelnotedebasdep"/>
        </w:rPr>
        <w:footnoteRef/>
      </w:r>
      <w:r w:rsidRPr="00DD4CEB">
        <w:rPr>
          <w:lang w:val="en-US"/>
        </w:rPr>
        <w:t xml:space="preserve"> C. trav. art. </w:t>
      </w:r>
      <w:r>
        <w:t>L. 2323-34 et s.</w:t>
      </w:r>
    </w:p>
  </w:footnote>
  <w:footnote w:id="3">
    <w:p w:rsidR="00193355" w:rsidRDefault="00193355" w:rsidP="003A1C38">
      <w:pPr>
        <w:pStyle w:val="Notedebasdepage"/>
      </w:pPr>
      <w:r>
        <w:rPr>
          <w:rStyle w:val="Appelnotedebasdep"/>
        </w:rPr>
        <w:footnoteRef/>
      </w:r>
      <w:r>
        <w:t xml:space="preserve"> C. trav., art. </w:t>
      </w:r>
      <w:r w:rsidRPr="00390ADA">
        <w:t xml:space="preserve">D. 6113-1.- </w:t>
      </w:r>
      <w:r w:rsidRPr="002F7BAF">
        <w:t xml:space="preserve">Le socle de connaissances et de compétences mentionné aux articles L. 6121-2, </w:t>
      </w:r>
      <w:r>
        <w:br/>
      </w:r>
      <w:r w:rsidRPr="002F7BAF">
        <w:t>L. 6324-1 et L. 6323-6</w:t>
      </w:r>
      <w:r w:rsidRPr="002F7BAF">
        <w:rPr>
          <w:i/>
        </w:rPr>
        <w:t xml:space="preserve"> « est constitué de l'ensemble des connaissances et des compétences qu'il est utile pour un individu de maîtriser afin de favoriser son accès à la formation professionnelle et son insertion professionnelle. Ce socle doit être apprécié dans un contexte professionnel. Ces connaissances et compétences sont également utiles à la vie sociale, civique et culturelle de l'individu. »</w:t>
      </w:r>
    </w:p>
  </w:footnote>
  <w:footnote w:id="4">
    <w:p w:rsidR="00193355" w:rsidRDefault="00193355" w:rsidP="003A1C38">
      <w:pPr>
        <w:pStyle w:val="Notedebasdepage"/>
      </w:pPr>
      <w:r>
        <w:rPr>
          <w:rStyle w:val="Appelnotedebasdep"/>
        </w:rPr>
        <w:footnoteRef/>
      </w:r>
      <w:r>
        <w:t xml:space="preserve"> La durée du congé est limitée à 24 heures de temps de travail consécutives ou non (autorisation d’absence). </w:t>
      </w:r>
    </w:p>
    <w:p w:rsidR="00193355" w:rsidRDefault="00193355" w:rsidP="003A1C38">
      <w:pPr>
        <w:pStyle w:val="Notedebasdepage"/>
      </w:pPr>
      <w:r>
        <w:t>Il intègre dans sa durée les épreuves de validation et éventuellement les périodes d’accompagnement à la préparation de cette validation.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968"/>
    <w:multiLevelType w:val="hybridMultilevel"/>
    <w:tmpl w:val="B9E63C56"/>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674ED8"/>
    <w:multiLevelType w:val="hybridMultilevel"/>
    <w:tmpl w:val="49ACA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F83D64"/>
    <w:multiLevelType w:val="multilevel"/>
    <w:tmpl w:val="2EBAF4CA"/>
    <w:lvl w:ilvl="0">
      <w:start w:val="1"/>
      <w:numFmt w:val="decimal"/>
      <w:lvlText w:val="%1."/>
      <w:lvlJc w:val="left"/>
      <w:pPr>
        <w:ind w:left="720" w:hanging="360"/>
      </w:p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Style3"/>
      <w:isLgl/>
      <w:lvlText w:val="%1.%2.%3.%4"/>
      <w:lvlJc w:val="left"/>
      <w:pPr>
        <w:ind w:left="1440" w:hanging="1080"/>
      </w:pPr>
      <w:rPr>
        <w:rFonts w:hint="default"/>
      </w:rPr>
    </w:lvl>
    <w:lvl w:ilvl="4">
      <w:start w:val="1"/>
      <w:numFmt w:val="decimal"/>
      <w:pStyle w:val="Style4"/>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0F36CA7"/>
    <w:multiLevelType w:val="hybridMultilevel"/>
    <w:tmpl w:val="0D5CC056"/>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E2356E"/>
    <w:multiLevelType w:val="hybridMultilevel"/>
    <w:tmpl w:val="DD14DCD8"/>
    <w:lvl w:ilvl="0" w:tplc="8174BCB6">
      <w:start w:val="1"/>
      <w:numFmt w:val="decimal"/>
      <w:pStyle w:val="Sansinterlign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EF2F17"/>
    <w:multiLevelType w:val="hybridMultilevel"/>
    <w:tmpl w:val="670A5B9E"/>
    <w:lvl w:ilvl="0" w:tplc="27EC0032">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B36BA4"/>
    <w:multiLevelType w:val="hybridMultilevel"/>
    <w:tmpl w:val="E39803E0"/>
    <w:lvl w:ilvl="0" w:tplc="27EC0032">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6F4FFF"/>
    <w:multiLevelType w:val="hybridMultilevel"/>
    <w:tmpl w:val="42D8E8F6"/>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1A77D9"/>
    <w:multiLevelType w:val="hybridMultilevel"/>
    <w:tmpl w:val="13C024FE"/>
    <w:lvl w:ilvl="0" w:tplc="27EC0032">
      <w:numFmt w:val="bullet"/>
      <w:lvlText w:val="-"/>
      <w:lvlJc w:val="left"/>
      <w:pPr>
        <w:ind w:left="720" w:hanging="360"/>
      </w:pPr>
      <w:rPr>
        <w:rFonts w:ascii="Calibri" w:eastAsia="Cambria"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4D0D7F"/>
    <w:multiLevelType w:val="hybridMultilevel"/>
    <w:tmpl w:val="D9C4E218"/>
    <w:lvl w:ilvl="0" w:tplc="E482FB1A">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32383B"/>
    <w:multiLevelType w:val="hybridMultilevel"/>
    <w:tmpl w:val="E6560FEC"/>
    <w:lvl w:ilvl="0" w:tplc="E152BF48">
      <w:start w:val="6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5403F1"/>
    <w:multiLevelType w:val="multilevel"/>
    <w:tmpl w:val="DB1E939E"/>
    <w:styleLink w:val="WWNum36"/>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A185D0F"/>
    <w:multiLevelType w:val="hybridMultilevel"/>
    <w:tmpl w:val="5CF8FCBE"/>
    <w:lvl w:ilvl="0" w:tplc="98CAF08A">
      <w:start w:val="1"/>
      <w:numFmt w:val="decimal"/>
      <w:pStyle w:val="Style6"/>
      <w:lvlText w:val="Chap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7519C0"/>
    <w:multiLevelType w:val="multilevel"/>
    <w:tmpl w:val="FDCAB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C8608F4"/>
    <w:multiLevelType w:val="hybridMultilevel"/>
    <w:tmpl w:val="54FA527E"/>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A65D84"/>
    <w:multiLevelType w:val="hybridMultilevel"/>
    <w:tmpl w:val="B614C07E"/>
    <w:lvl w:ilvl="0" w:tplc="E152BF48">
      <w:start w:val="65"/>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0165C9"/>
    <w:multiLevelType w:val="hybridMultilevel"/>
    <w:tmpl w:val="1CE4A5B6"/>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233807"/>
    <w:multiLevelType w:val="hybridMultilevel"/>
    <w:tmpl w:val="3F38949E"/>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242FC9"/>
    <w:multiLevelType w:val="hybridMultilevel"/>
    <w:tmpl w:val="452E5578"/>
    <w:lvl w:ilvl="0" w:tplc="5070585C">
      <w:start w:val="27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70477F"/>
    <w:multiLevelType w:val="hybridMultilevel"/>
    <w:tmpl w:val="0BC6F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925914"/>
    <w:multiLevelType w:val="hybridMultilevel"/>
    <w:tmpl w:val="CBB2114A"/>
    <w:lvl w:ilvl="0" w:tplc="E482FB1A">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2132CC"/>
    <w:multiLevelType w:val="hybridMultilevel"/>
    <w:tmpl w:val="02B2CABA"/>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891E5A"/>
    <w:multiLevelType w:val="hybridMultilevel"/>
    <w:tmpl w:val="4216D8BE"/>
    <w:lvl w:ilvl="0" w:tplc="E152BF48">
      <w:start w:val="6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005193"/>
    <w:multiLevelType w:val="hybridMultilevel"/>
    <w:tmpl w:val="77185242"/>
    <w:lvl w:ilvl="0" w:tplc="E152BF48">
      <w:start w:val="65"/>
      <w:numFmt w:val="bullet"/>
      <w:lvlText w:val="-"/>
      <w:lvlJc w:val="left"/>
      <w:pPr>
        <w:ind w:left="862" w:hanging="360"/>
      </w:pPr>
      <w:rPr>
        <w:rFonts w:ascii="Calibri" w:eastAsiaTheme="minorHAnsi" w:hAnsi="Calibri" w:cstheme="minorBidi" w:hint="default"/>
      </w:rPr>
    </w:lvl>
    <w:lvl w:ilvl="1" w:tplc="2E6EB9D0">
      <w:numFmt w:val="bullet"/>
      <w:lvlText w:val=""/>
      <w:lvlJc w:val="left"/>
      <w:pPr>
        <w:ind w:left="1582" w:hanging="360"/>
      </w:pPr>
      <w:rPr>
        <w:rFonts w:ascii="Wingdings" w:eastAsia="Cambria" w:hAnsi="Wingdings" w:cs="Times New Roman"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20"/>
  </w:num>
  <w:num w:numId="3">
    <w:abstractNumId w:val="6"/>
  </w:num>
  <w:num w:numId="4">
    <w:abstractNumId w:val="8"/>
  </w:num>
  <w:num w:numId="5">
    <w:abstractNumId w:val="0"/>
  </w:num>
  <w:num w:numId="6">
    <w:abstractNumId w:val="10"/>
  </w:num>
  <w:num w:numId="7">
    <w:abstractNumId w:val="21"/>
  </w:num>
  <w:num w:numId="8">
    <w:abstractNumId w:val="7"/>
  </w:num>
  <w:num w:numId="9">
    <w:abstractNumId w:val="16"/>
  </w:num>
  <w:num w:numId="10">
    <w:abstractNumId w:val="17"/>
  </w:num>
  <w:num w:numId="11">
    <w:abstractNumId w:val="3"/>
  </w:num>
  <w:num w:numId="12">
    <w:abstractNumId w:val="12"/>
  </w:num>
  <w:num w:numId="13">
    <w:abstractNumId w:val="12"/>
    <w:lvlOverride w:ilvl="0">
      <w:startOverride w:val="1"/>
    </w:lvlOverride>
  </w:num>
  <w:num w:numId="14">
    <w:abstractNumId w:val="22"/>
  </w:num>
  <w:num w:numId="15">
    <w:abstractNumId w:val="14"/>
  </w:num>
  <w:num w:numId="16">
    <w:abstractNumId w:val="15"/>
  </w:num>
  <w:num w:numId="17">
    <w:abstractNumId w:val="23"/>
  </w:num>
  <w:num w:numId="18">
    <w:abstractNumId w:val="9"/>
  </w:num>
  <w:num w:numId="19">
    <w:abstractNumId w:val="1"/>
  </w:num>
  <w:num w:numId="20">
    <w:abstractNumId w:val="4"/>
  </w:num>
  <w:num w:numId="21">
    <w:abstractNumId w:val="18"/>
  </w:num>
  <w:num w:numId="22">
    <w:abstractNumId w:val="11"/>
  </w:num>
  <w:num w:numId="23">
    <w:abstractNumId w:val="5"/>
  </w:num>
  <w:num w:numId="24">
    <w:abstractNumId w:val="1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92"/>
    <w:rsid w:val="00006DDE"/>
    <w:rsid w:val="00015937"/>
    <w:rsid w:val="00023A16"/>
    <w:rsid w:val="00031D61"/>
    <w:rsid w:val="0003365C"/>
    <w:rsid w:val="00046388"/>
    <w:rsid w:val="00050928"/>
    <w:rsid w:val="00062CDA"/>
    <w:rsid w:val="0007112A"/>
    <w:rsid w:val="0007492A"/>
    <w:rsid w:val="00091200"/>
    <w:rsid w:val="00093657"/>
    <w:rsid w:val="0009574B"/>
    <w:rsid w:val="000B2872"/>
    <w:rsid w:val="000C1AB5"/>
    <w:rsid w:val="000C1C5D"/>
    <w:rsid w:val="000F04BB"/>
    <w:rsid w:val="000F7CEE"/>
    <w:rsid w:val="001011FC"/>
    <w:rsid w:val="0012014C"/>
    <w:rsid w:val="00120EF1"/>
    <w:rsid w:val="00122AA2"/>
    <w:rsid w:val="001264D5"/>
    <w:rsid w:val="00132FF7"/>
    <w:rsid w:val="00134A45"/>
    <w:rsid w:val="00144D27"/>
    <w:rsid w:val="00144E20"/>
    <w:rsid w:val="00144E56"/>
    <w:rsid w:val="001745C0"/>
    <w:rsid w:val="0017529D"/>
    <w:rsid w:val="00190131"/>
    <w:rsid w:val="00193355"/>
    <w:rsid w:val="001B151A"/>
    <w:rsid w:val="001C0954"/>
    <w:rsid w:val="001D3F9F"/>
    <w:rsid w:val="001D7870"/>
    <w:rsid w:val="001E3BD7"/>
    <w:rsid w:val="001E74B3"/>
    <w:rsid w:val="001F2CBB"/>
    <w:rsid w:val="001F3C6E"/>
    <w:rsid w:val="002110AA"/>
    <w:rsid w:val="00234A4B"/>
    <w:rsid w:val="002462B7"/>
    <w:rsid w:val="00254EB5"/>
    <w:rsid w:val="0025521F"/>
    <w:rsid w:val="00255760"/>
    <w:rsid w:val="002622F5"/>
    <w:rsid w:val="00262949"/>
    <w:rsid w:val="00270B2E"/>
    <w:rsid w:val="0028207E"/>
    <w:rsid w:val="0029166D"/>
    <w:rsid w:val="002B3DF0"/>
    <w:rsid w:val="002B434E"/>
    <w:rsid w:val="002B5020"/>
    <w:rsid w:val="002C3F9B"/>
    <w:rsid w:val="002D39FB"/>
    <w:rsid w:val="002D3D55"/>
    <w:rsid w:val="002D5A31"/>
    <w:rsid w:val="002E316E"/>
    <w:rsid w:val="002E67F4"/>
    <w:rsid w:val="002F3FCC"/>
    <w:rsid w:val="002F5E26"/>
    <w:rsid w:val="002F78B8"/>
    <w:rsid w:val="002F7BAF"/>
    <w:rsid w:val="00300549"/>
    <w:rsid w:val="00312004"/>
    <w:rsid w:val="00314CB1"/>
    <w:rsid w:val="00316AA2"/>
    <w:rsid w:val="00325B9F"/>
    <w:rsid w:val="00331A5A"/>
    <w:rsid w:val="0033246F"/>
    <w:rsid w:val="00333E6E"/>
    <w:rsid w:val="00335FB6"/>
    <w:rsid w:val="003435F5"/>
    <w:rsid w:val="00355AC6"/>
    <w:rsid w:val="003570EF"/>
    <w:rsid w:val="00360C65"/>
    <w:rsid w:val="00361298"/>
    <w:rsid w:val="00361352"/>
    <w:rsid w:val="00370C2C"/>
    <w:rsid w:val="00370C50"/>
    <w:rsid w:val="00390341"/>
    <w:rsid w:val="00390ADA"/>
    <w:rsid w:val="0039230B"/>
    <w:rsid w:val="003A1C38"/>
    <w:rsid w:val="003A2C65"/>
    <w:rsid w:val="003A4A0B"/>
    <w:rsid w:val="003C4D80"/>
    <w:rsid w:val="003C7CA4"/>
    <w:rsid w:val="003D2641"/>
    <w:rsid w:val="003F4F44"/>
    <w:rsid w:val="00401618"/>
    <w:rsid w:val="00406865"/>
    <w:rsid w:val="00410BB7"/>
    <w:rsid w:val="004113E6"/>
    <w:rsid w:val="00417D87"/>
    <w:rsid w:val="00431FF3"/>
    <w:rsid w:val="00436B78"/>
    <w:rsid w:val="00440025"/>
    <w:rsid w:val="00443A76"/>
    <w:rsid w:val="00445DE5"/>
    <w:rsid w:val="00460E0E"/>
    <w:rsid w:val="00461CE8"/>
    <w:rsid w:val="00467089"/>
    <w:rsid w:val="004747B8"/>
    <w:rsid w:val="00481416"/>
    <w:rsid w:val="004B498B"/>
    <w:rsid w:val="004C4827"/>
    <w:rsid w:val="004C532D"/>
    <w:rsid w:val="004D2C42"/>
    <w:rsid w:val="004E4822"/>
    <w:rsid w:val="004E6EC7"/>
    <w:rsid w:val="004F4FD3"/>
    <w:rsid w:val="00503FF9"/>
    <w:rsid w:val="005047BB"/>
    <w:rsid w:val="00506248"/>
    <w:rsid w:val="00513BC5"/>
    <w:rsid w:val="00550470"/>
    <w:rsid w:val="00570A0D"/>
    <w:rsid w:val="00574547"/>
    <w:rsid w:val="005824F7"/>
    <w:rsid w:val="00584766"/>
    <w:rsid w:val="005A2A32"/>
    <w:rsid w:val="005A6BFA"/>
    <w:rsid w:val="005B104D"/>
    <w:rsid w:val="005B10FE"/>
    <w:rsid w:val="005B644C"/>
    <w:rsid w:val="005C2CBC"/>
    <w:rsid w:val="005C522A"/>
    <w:rsid w:val="005C6AF3"/>
    <w:rsid w:val="005C6CE0"/>
    <w:rsid w:val="005D18B8"/>
    <w:rsid w:val="005F1EAC"/>
    <w:rsid w:val="005F35F2"/>
    <w:rsid w:val="00603FB1"/>
    <w:rsid w:val="006106AA"/>
    <w:rsid w:val="0061739B"/>
    <w:rsid w:val="00620C10"/>
    <w:rsid w:val="0062185A"/>
    <w:rsid w:val="00624C00"/>
    <w:rsid w:val="0064278A"/>
    <w:rsid w:val="006440AB"/>
    <w:rsid w:val="00680C97"/>
    <w:rsid w:val="006845A3"/>
    <w:rsid w:val="006901DC"/>
    <w:rsid w:val="00693DE3"/>
    <w:rsid w:val="006945EF"/>
    <w:rsid w:val="006955E5"/>
    <w:rsid w:val="006B32F4"/>
    <w:rsid w:val="006B5252"/>
    <w:rsid w:val="006B6B42"/>
    <w:rsid w:val="006C1F56"/>
    <w:rsid w:val="006C225E"/>
    <w:rsid w:val="006C7002"/>
    <w:rsid w:val="006D33CD"/>
    <w:rsid w:val="006D470A"/>
    <w:rsid w:val="006E1C54"/>
    <w:rsid w:val="006E2F27"/>
    <w:rsid w:val="006E6BD4"/>
    <w:rsid w:val="006F7823"/>
    <w:rsid w:val="007020C6"/>
    <w:rsid w:val="00713134"/>
    <w:rsid w:val="00720C35"/>
    <w:rsid w:val="00721A23"/>
    <w:rsid w:val="00727A3A"/>
    <w:rsid w:val="00730BF1"/>
    <w:rsid w:val="007343A3"/>
    <w:rsid w:val="00734D42"/>
    <w:rsid w:val="0073599C"/>
    <w:rsid w:val="007555AB"/>
    <w:rsid w:val="00756EBD"/>
    <w:rsid w:val="00770EF9"/>
    <w:rsid w:val="00773687"/>
    <w:rsid w:val="007748E2"/>
    <w:rsid w:val="0078177F"/>
    <w:rsid w:val="00797F50"/>
    <w:rsid w:val="007A33FD"/>
    <w:rsid w:val="007A3DBD"/>
    <w:rsid w:val="007A7410"/>
    <w:rsid w:val="007B0C0A"/>
    <w:rsid w:val="007B1009"/>
    <w:rsid w:val="007B4126"/>
    <w:rsid w:val="007B7090"/>
    <w:rsid w:val="007D1CD0"/>
    <w:rsid w:val="007D2589"/>
    <w:rsid w:val="00801F02"/>
    <w:rsid w:val="00804950"/>
    <w:rsid w:val="0081416C"/>
    <w:rsid w:val="008147C3"/>
    <w:rsid w:val="0081629C"/>
    <w:rsid w:val="00817D6B"/>
    <w:rsid w:val="008221EC"/>
    <w:rsid w:val="00823EA1"/>
    <w:rsid w:val="00827192"/>
    <w:rsid w:val="00836DE4"/>
    <w:rsid w:val="00842966"/>
    <w:rsid w:val="0084427A"/>
    <w:rsid w:val="0084785B"/>
    <w:rsid w:val="00847D07"/>
    <w:rsid w:val="00852CDE"/>
    <w:rsid w:val="008629E1"/>
    <w:rsid w:val="00862F40"/>
    <w:rsid w:val="008659D0"/>
    <w:rsid w:val="00875E95"/>
    <w:rsid w:val="00887228"/>
    <w:rsid w:val="0089294C"/>
    <w:rsid w:val="00893DD8"/>
    <w:rsid w:val="008A13C1"/>
    <w:rsid w:val="008A3DEE"/>
    <w:rsid w:val="008A4E81"/>
    <w:rsid w:val="008B4852"/>
    <w:rsid w:val="008C39F4"/>
    <w:rsid w:val="008C613D"/>
    <w:rsid w:val="008D3881"/>
    <w:rsid w:val="008D5A49"/>
    <w:rsid w:val="008E5207"/>
    <w:rsid w:val="008F4F9A"/>
    <w:rsid w:val="008F60DF"/>
    <w:rsid w:val="00902C89"/>
    <w:rsid w:val="009109E3"/>
    <w:rsid w:val="009257F0"/>
    <w:rsid w:val="00930901"/>
    <w:rsid w:val="0093773D"/>
    <w:rsid w:val="00942240"/>
    <w:rsid w:val="00954F0E"/>
    <w:rsid w:val="009610C0"/>
    <w:rsid w:val="0096498E"/>
    <w:rsid w:val="00973CBF"/>
    <w:rsid w:val="0097408C"/>
    <w:rsid w:val="00977D44"/>
    <w:rsid w:val="00981400"/>
    <w:rsid w:val="00981C61"/>
    <w:rsid w:val="00996525"/>
    <w:rsid w:val="009A2A23"/>
    <w:rsid w:val="009A54F7"/>
    <w:rsid w:val="009A6EE6"/>
    <w:rsid w:val="009B16E2"/>
    <w:rsid w:val="009B6BDE"/>
    <w:rsid w:val="009D0BBD"/>
    <w:rsid w:val="009D2B1D"/>
    <w:rsid w:val="009D7AD2"/>
    <w:rsid w:val="009E0E82"/>
    <w:rsid w:val="009E1C23"/>
    <w:rsid w:val="009E3219"/>
    <w:rsid w:val="009E386F"/>
    <w:rsid w:val="009E4D97"/>
    <w:rsid w:val="009E7DC9"/>
    <w:rsid w:val="009F474D"/>
    <w:rsid w:val="009F627F"/>
    <w:rsid w:val="009F6D62"/>
    <w:rsid w:val="009F7E72"/>
    <w:rsid w:val="00A03E11"/>
    <w:rsid w:val="00A05B13"/>
    <w:rsid w:val="00A11373"/>
    <w:rsid w:val="00A133A7"/>
    <w:rsid w:val="00A1656F"/>
    <w:rsid w:val="00A16C1F"/>
    <w:rsid w:val="00A208F4"/>
    <w:rsid w:val="00A2427F"/>
    <w:rsid w:val="00A3237F"/>
    <w:rsid w:val="00A34C91"/>
    <w:rsid w:val="00A36051"/>
    <w:rsid w:val="00A40D5F"/>
    <w:rsid w:val="00A46AC6"/>
    <w:rsid w:val="00A55115"/>
    <w:rsid w:val="00A64104"/>
    <w:rsid w:val="00A70A4F"/>
    <w:rsid w:val="00A7502F"/>
    <w:rsid w:val="00A9382A"/>
    <w:rsid w:val="00AA5903"/>
    <w:rsid w:val="00AB529E"/>
    <w:rsid w:val="00AB554A"/>
    <w:rsid w:val="00AC2180"/>
    <w:rsid w:val="00AC67AB"/>
    <w:rsid w:val="00AC72DC"/>
    <w:rsid w:val="00AD08E2"/>
    <w:rsid w:val="00AD21BF"/>
    <w:rsid w:val="00AD69A7"/>
    <w:rsid w:val="00AE3240"/>
    <w:rsid w:val="00AF6299"/>
    <w:rsid w:val="00B0485A"/>
    <w:rsid w:val="00B10CF9"/>
    <w:rsid w:val="00B171BC"/>
    <w:rsid w:val="00B42C94"/>
    <w:rsid w:val="00B479E8"/>
    <w:rsid w:val="00B50902"/>
    <w:rsid w:val="00B50D22"/>
    <w:rsid w:val="00B54E61"/>
    <w:rsid w:val="00B6055B"/>
    <w:rsid w:val="00B72F9B"/>
    <w:rsid w:val="00B80E77"/>
    <w:rsid w:val="00B81BF1"/>
    <w:rsid w:val="00B9056F"/>
    <w:rsid w:val="00BB725E"/>
    <w:rsid w:val="00BC1C27"/>
    <w:rsid w:val="00BC6EFB"/>
    <w:rsid w:val="00BE7DB2"/>
    <w:rsid w:val="00BF260D"/>
    <w:rsid w:val="00C00F5E"/>
    <w:rsid w:val="00C0457A"/>
    <w:rsid w:val="00C0496B"/>
    <w:rsid w:val="00C1733F"/>
    <w:rsid w:val="00C17F13"/>
    <w:rsid w:val="00C3274E"/>
    <w:rsid w:val="00C43719"/>
    <w:rsid w:val="00C60A55"/>
    <w:rsid w:val="00C61DCC"/>
    <w:rsid w:val="00C61F7F"/>
    <w:rsid w:val="00C72443"/>
    <w:rsid w:val="00C83412"/>
    <w:rsid w:val="00C83E9B"/>
    <w:rsid w:val="00CA10C4"/>
    <w:rsid w:val="00CB0A4D"/>
    <w:rsid w:val="00CB34DE"/>
    <w:rsid w:val="00CE5E33"/>
    <w:rsid w:val="00CF597D"/>
    <w:rsid w:val="00CF6DA4"/>
    <w:rsid w:val="00D13E10"/>
    <w:rsid w:val="00D20F24"/>
    <w:rsid w:val="00D2194B"/>
    <w:rsid w:val="00D345CE"/>
    <w:rsid w:val="00D34991"/>
    <w:rsid w:val="00D40C46"/>
    <w:rsid w:val="00D52032"/>
    <w:rsid w:val="00D52953"/>
    <w:rsid w:val="00D64CCE"/>
    <w:rsid w:val="00D72011"/>
    <w:rsid w:val="00D72E39"/>
    <w:rsid w:val="00D741D1"/>
    <w:rsid w:val="00D74738"/>
    <w:rsid w:val="00D83D55"/>
    <w:rsid w:val="00D9582C"/>
    <w:rsid w:val="00DA6892"/>
    <w:rsid w:val="00DB07C4"/>
    <w:rsid w:val="00DC346F"/>
    <w:rsid w:val="00DD1303"/>
    <w:rsid w:val="00DD1AD9"/>
    <w:rsid w:val="00DD4CEB"/>
    <w:rsid w:val="00DD64FA"/>
    <w:rsid w:val="00DD6E92"/>
    <w:rsid w:val="00DE6B67"/>
    <w:rsid w:val="00DE7479"/>
    <w:rsid w:val="00DF0F94"/>
    <w:rsid w:val="00DF1D66"/>
    <w:rsid w:val="00E20B50"/>
    <w:rsid w:val="00E42AD3"/>
    <w:rsid w:val="00E475D4"/>
    <w:rsid w:val="00E56A87"/>
    <w:rsid w:val="00E56B13"/>
    <w:rsid w:val="00E6152E"/>
    <w:rsid w:val="00E621E3"/>
    <w:rsid w:val="00E67918"/>
    <w:rsid w:val="00E67CA6"/>
    <w:rsid w:val="00E71402"/>
    <w:rsid w:val="00E73E20"/>
    <w:rsid w:val="00E75F1B"/>
    <w:rsid w:val="00E81278"/>
    <w:rsid w:val="00E81757"/>
    <w:rsid w:val="00E95A1A"/>
    <w:rsid w:val="00E95C4F"/>
    <w:rsid w:val="00EA0DCA"/>
    <w:rsid w:val="00EA452C"/>
    <w:rsid w:val="00EA6217"/>
    <w:rsid w:val="00EB3837"/>
    <w:rsid w:val="00EC2505"/>
    <w:rsid w:val="00EC44AE"/>
    <w:rsid w:val="00ED28C1"/>
    <w:rsid w:val="00ED5DB3"/>
    <w:rsid w:val="00ED6DA2"/>
    <w:rsid w:val="00EE1034"/>
    <w:rsid w:val="00EE367D"/>
    <w:rsid w:val="00EE4C02"/>
    <w:rsid w:val="00EF03CB"/>
    <w:rsid w:val="00EF33C7"/>
    <w:rsid w:val="00F00E80"/>
    <w:rsid w:val="00F26540"/>
    <w:rsid w:val="00F34451"/>
    <w:rsid w:val="00F524B9"/>
    <w:rsid w:val="00F956A1"/>
    <w:rsid w:val="00FA2131"/>
    <w:rsid w:val="00FC2A51"/>
    <w:rsid w:val="00FD08E6"/>
    <w:rsid w:val="00FD219B"/>
    <w:rsid w:val="00FE0954"/>
    <w:rsid w:val="00FF0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2E98A5-C6A6-4E8D-9687-FF6D0479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E9B"/>
    <w:pPr>
      <w:spacing w:line="240" w:lineRule="auto"/>
      <w:jc w:val="both"/>
    </w:pPr>
    <w:rPr>
      <w:rFonts w:cs="Times New Roman"/>
      <w:szCs w:val="24"/>
    </w:rPr>
  </w:style>
  <w:style w:type="paragraph" w:styleId="Titre1">
    <w:name w:val="heading 1"/>
    <w:basedOn w:val="Normal"/>
    <w:next w:val="Normal"/>
    <w:link w:val="Titre1Car"/>
    <w:autoRedefine/>
    <w:uiPriority w:val="9"/>
    <w:qFormat/>
    <w:rsid w:val="00C17F13"/>
    <w:pPr>
      <w:keepNext/>
      <w:keepLines/>
      <w:spacing w:before="360" w:after="360" w:line="276" w:lineRule="auto"/>
      <w:ind w:left="142"/>
      <w:outlineLvl w:val="0"/>
    </w:pPr>
    <w:rPr>
      <w:rFonts w:eastAsiaTheme="majorEastAsia" w:cstheme="majorBidi"/>
      <w:b/>
      <w:bCs/>
      <w:color w:val="92CDDC" w:themeColor="accent5" w:themeTint="99"/>
      <w:szCs w:val="32"/>
    </w:rPr>
  </w:style>
  <w:style w:type="paragraph" w:styleId="Titre2">
    <w:name w:val="heading 2"/>
    <w:basedOn w:val="Normal"/>
    <w:next w:val="Normal"/>
    <w:link w:val="Titre2Car"/>
    <w:uiPriority w:val="9"/>
    <w:unhideWhenUsed/>
    <w:qFormat/>
    <w:rsid w:val="00DD6E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F13"/>
    <w:rPr>
      <w:rFonts w:eastAsiaTheme="majorEastAsia" w:cstheme="majorBidi"/>
      <w:b/>
      <w:bCs/>
      <w:color w:val="92CDDC" w:themeColor="accent5" w:themeTint="99"/>
      <w:szCs w:val="32"/>
    </w:rPr>
  </w:style>
  <w:style w:type="paragraph" w:customStyle="1" w:styleId="Style1">
    <w:name w:val="Style1"/>
    <w:basedOn w:val="Paragraphedeliste"/>
    <w:link w:val="Style1Car"/>
    <w:autoRedefine/>
    <w:qFormat/>
    <w:rsid w:val="00132FF7"/>
    <w:pPr>
      <w:numPr>
        <w:ilvl w:val="1"/>
        <w:numId w:val="1"/>
      </w:numPr>
      <w:spacing w:before="240" w:after="240"/>
    </w:pPr>
    <w:rPr>
      <w:b/>
      <w:szCs w:val="28"/>
    </w:rPr>
  </w:style>
  <w:style w:type="character" w:customStyle="1" w:styleId="Style1Car">
    <w:name w:val="Style1 Car"/>
    <w:basedOn w:val="Policepardfaut"/>
    <w:link w:val="Style1"/>
    <w:rsid w:val="00132FF7"/>
    <w:rPr>
      <w:rFonts w:cs="Times New Roman"/>
      <w:b/>
      <w:szCs w:val="28"/>
    </w:rPr>
  </w:style>
  <w:style w:type="paragraph" w:styleId="Paragraphedeliste">
    <w:name w:val="List Paragraph"/>
    <w:basedOn w:val="Normal"/>
    <w:link w:val="ParagraphedelisteCar"/>
    <w:uiPriority w:val="34"/>
    <w:qFormat/>
    <w:rsid w:val="00C83E9B"/>
    <w:pPr>
      <w:ind w:left="720"/>
      <w:contextualSpacing/>
    </w:pPr>
  </w:style>
  <w:style w:type="paragraph" w:customStyle="1" w:styleId="Style4">
    <w:name w:val="Style4"/>
    <w:basedOn w:val="Normal"/>
    <w:link w:val="Style4Car"/>
    <w:autoRedefine/>
    <w:qFormat/>
    <w:rsid w:val="00C83E9B"/>
    <w:pPr>
      <w:numPr>
        <w:ilvl w:val="4"/>
        <w:numId w:val="1"/>
      </w:numPr>
      <w:spacing w:before="120" w:after="120"/>
      <w:contextualSpacing/>
    </w:pPr>
    <w:rPr>
      <w:rFonts w:ascii="Cambria" w:hAnsi="Cambria"/>
      <w:b/>
      <w:i/>
      <w:color w:val="C0504D" w:themeColor="accent2"/>
      <w:sz w:val="24"/>
    </w:rPr>
  </w:style>
  <w:style w:type="character" w:customStyle="1" w:styleId="Style4Car">
    <w:name w:val="Style4 Car"/>
    <w:basedOn w:val="Policepardfaut"/>
    <w:link w:val="Style4"/>
    <w:rsid w:val="00C83E9B"/>
    <w:rPr>
      <w:rFonts w:ascii="Cambria" w:hAnsi="Cambria" w:cs="Times New Roman"/>
      <w:b/>
      <w:i/>
      <w:color w:val="C0504D" w:themeColor="accent2"/>
      <w:sz w:val="24"/>
      <w:szCs w:val="24"/>
    </w:rPr>
  </w:style>
  <w:style w:type="paragraph" w:customStyle="1" w:styleId="Style5">
    <w:name w:val="Style5"/>
    <w:basedOn w:val="Paragraphedeliste"/>
    <w:link w:val="Style5Car"/>
    <w:autoRedefine/>
    <w:qFormat/>
    <w:rsid w:val="00C83E9B"/>
    <w:pPr>
      <w:spacing w:line="276" w:lineRule="auto"/>
      <w:ind w:left="1728" w:hanging="648"/>
    </w:pPr>
    <w:rPr>
      <w:rFonts w:ascii="Cambria" w:hAnsi="Cambria"/>
      <w:sz w:val="24"/>
      <w:u w:val="single"/>
    </w:rPr>
  </w:style>
  <w:style w:type="character" w:customStyle="1" w:styleId="Style5Car">
    <w:name w:val="Style5 Car"/>
    <w:basedOn w:val="Policepardfaut"/>
    <w:link w:val="Style5"/>
    <w:rsid w:val="00C83E9B"/>
    <w:rPr>
      <w:rFonts w:ascii="Cambria" w:eastAsia="Cambria" w:hAnsi="Cambria" w:cs="Times New Roman"/>
      <w:sz w:val="24"/>
      <w:szCs w:val="24"/>
      <w:u w:val="single"/>
    </w:rPr>
  </w:style>
  <w:style w:type="paragraph" w:customStyle="1" w:styleId="Style3">
    <w:name w:val="Style3"/>
    <w:basedOn w:val="Paragraphedeliste"/>
    <w:link w:val="Style3Car"/>
    <w:autoRedefine/>
    <w:qFormat/>
    <w:rsid w:val="00C83E9B"/>
    <w:pPr>
      <w:numPr>
        <w:ilvl w:val="3"/>
        <w:numId w:val="1"/>
      </w:numPr>
      <w:spacing w:before="240"/>
    </w:pPr>
    <w:rPr>
      <w:rFonts w:ascii="Cambria" w:hAnsi="Cambria"/>
      <w:i/>
      <w:sz w:val="24"/>
    </w:rPr>
  </w:style>
  <w:style w:type="character" w:customStyle="1" w:styleId="Style3Car">
    <w:name w:val="Style3 Car"/>
    <w:basedOn w:val="Policepardfaut"/>
    <w:link w:val="Style3"/>
    <w:rsid w:val="00C83E9B"/>
    <w:rPr>
      <w:rFonts w:ascii="Cambria" w:hAnsi="Cambria" w:cs="Times New Roman"/>
      <w:i/>
      <w:sz w:val="24"/>
      <w:szCs w:val="24"/>
    </w:rPr>
  </w:style>
  <w:style w:type="character" w:customStyle="1" w:styleId="ParagraphedelisteCar">
    <w:name w:val="Paragraphe de liste Car"/>
    <w:basedOn w:val="Policepardfaut"/>
    <w:link w:val="Paragraphedeliste"/>
    <w:uiPriority w:val="34"/>
    <w:rsid w:val="00DD6E92"/>
    <w:rPr>
      <w:rFonts w:cs="Times New Roman"/>
      <w:szCs w:val="24"/>
    </w:rPr>
  </w:style>
  <w:style w:type="paragraph" w:styleId="Citationintense">
    <w:name w:val="Intense Quote"/>
    <w:basedOn w:val="Titre2"/>
    <w:next w:val="Titre2"/>
    <w:link w:val="CitationintenseCar"/>
    <w:autoRedefine/>
    <w:uiPriority w:val="30"/>
    <w:qFormat/>
    <w:rsid w:val="00C17F13"/>
    <w:pPr>
      <w:pBdr>
        <w:bottom w:val="single" w:sz="4" w:space="4" w:color="4F81BD" w:themeColor="accent1"/>
      </w:pBdr>
      <w:spacing w:before="360" w:after="360"/>
      <w:jc w:val="left"/>
    </w:pPr>
    <w:rPr>
      <w:rFonts w:asciiTheme="minorHAnsi" w:hAnsiTheme="minorHAnsi"/>
      <w:bCs w:val="0"/>
      <w:i/>
      <w:iCs/>
      <w:color w:val="92CDDC" w:themeColor="accent5" w:themeTint="99"/>
      <w:sz w:val="24"/>
    </w:rPr>
  </w:style>
  <w:style w:type="character" w:customStyle="1" w:styleId="CitationintenseCar">
    <w:name w:val="Citation intense Car"/>
    <w:basedOn w:val="Policepardfaut"/>
    <w:link w:val="Citationintense"/>
    <w:uiPriority w:val="30"/>
    <w:rsid w:val="00C17F13"/>
    <w:rPr>
      <w:rFonts w:eastAsiaTheme="majorEastAsia" w:cstheme="majorBidi"/>
      <w:b/>
      <w:i/>
      <w:iCs/>
      <w:color w:val="92CDDC" w:themeColor="accent5" w:themeTint="99"/>
      <w:sz w:val="24"/>
      <w:szCs w:val="26"/>
    </w:rPr>
  </w:style>
  <w:style w:type="paragraph" w:customStyle="1" w:styleId="Style2">
    <w:name w:val="Style2"/>
    <w:basedOn w:val="Paragraphedeliste"/>
    <w:link w:val="Style2Car"/>
    <w:qFormat/>
    <w:rsid w:val="00DD6E92"/>
    <w:pPr>
      <w:spacing w:after="120" w:line="276" w:lineRule="auto"/>
      <w:ind w:left="1080" w:hanging="720"/>
    </w:pPr>
    <w:rPr>
      <w:b/>
    </w:rPr>
  </w:style>
  <w:style w:type="character" w:customStyle="1" w:styleId="Titre2Car">
    <w:name w:val="Titre 2 Car"/>
    <w:basedOn w:val="Policepardfaut"/>
    <w:link w:val="Titre2"/>
    <w:uiPriority w:val="9"/>
    <w:rsid w:val="00DD6E92"/>
    <w:rPr>
      <w:rFonts w:asciiTheme="majorHAnsi" w:eastAsiaTheme="majorEastAsia" w:hAnsiTheme="majorHAnsi" w:cstheme="majorBidi"/>
      <w:b/>
      <w:bCs/>
      <w:color w:val="4F81BD" w:themeColor="accent1"/>
      <w:sz w:val="26"/>
      <w:szCs w:val="26"/>
    </w:rPr>
  </w:style>
  <w:style w:type="paragraph" w:customStyle="1" w:styleId="Style6">
    <w:name w:val="Style6"/>
    <w:basedOn w:val="Titre1"/>
    <w:link w:val="Style6Car"/>
    <w:autoRedefine/>
    <w:qFormat/>
    <w:rsid w:val="00C17F13"/>
    <w:pPr>
      <w:numPr>
        <w:numId w:val="12"/>
      </w:numPr>
      <w:jc w:val="left"/>
    </w:pPr>
    <w:rPr>
      <w:sz w:val="32"/>
      <w:szCs w:val="28"/>
    </w:rPr>
  </w:style>
  <w:style w:type="paragraph" w:styleId="En-tte">
    <w:name w:val="header"/>
    <w:basedOn w:val="Normal"/>
    <w:link w:val="En-tteCar"/>
    <w:unhideWhenUsed/>
    <w:rsid w:val="00144E56"/>
    <w:pPr>
      <w:tabs>
        <w:tab w:val="center" w:pos="4536"/>
        <w:tab w:val="right" w:pos="9072"/>
      </w:tabs>
      <w:spacing w:after="0"/>
    </w:pPr>
  </w:style>
  <w:style w:type="character" w:customStyle="1" w:styleId="Style6Car">
    <w:name w:val="Style6 Car"/>
    <w:basedOn w:val="Policepardfaut"/>
    <w:link w:val="Style6"/>
    <w:rsid w:val="00C17F13"/>
    <w:rPr>
      <w:rFonts w:eastAsiaTheme="majorEastAsia" w:cstheme="majorBidi"/>
      <w:b/>
      <w:bCs/>
      <w:color w:val="92CDDC" w:themeColor="accent5" w:themeTint="99"/>
      <w:sz w:val="32"/>
      <w:szCs w:val="28"/>
    </w:rPr>
  </w:style>
  <w:style w:type="character" w:customStyle="1" w:styleId="En-tteCar">
    <w:name w:val="En-tête Car"/>
    <w:basedOn w:val="Policepardfaut"/>
    <w:link w:val="En-tte"/>
    <w:uiPriority w:val="99"/>
    <w:rsid w:val="00144E56"/>
    <w:rPr>
      <w:rFonts w:cs="Times New Roman"/>
      <w:szCs w:val="24"/>
    </w:rPr>
  </w:style>
  <w:style w:type="paragraph" w:styleId="Pieddepage">
    <w:name w:val="footer"/>
    <w:basedOn w:val="Normal"/>
    <w:link w:val="PieddepageCar"/>
    <w:uiPriority w:val="99"/>
    <w:unhideWhenUsed/>
    <w:rsid w:val="00144E56"/>
    <w:pPr>
      <w:tabs>
        <w:tab w:val="center" w:pos="4536"/>
        <w:tab w:val="right" w:pos="9072"/>
      </w:tabs>
      <w:spacing w:after="0"/>
    </w:pPr>
  </w:style>
  <w:style w:type="character" w:customStyle="1" w:styleId="PieddepageCar">
    <w:name w:val="Pied de page Car"/>
    <w:basedOn w:val="Policepardfaut"/>
    <w:link w:val="Pieddepage"/>
    <w:uiPriority w:val="99"/>
    <w:rsid w:val="00144E56"/>
    <w:rPr>
      <w:rFonts w:cs="Times New Roman"/>
      <w:szCs w:val="24"/>
    </w:rPr>
  </w:style>
  <w:style w:type="paragraph" w:customStyle="1" w:styleId="Style7">
    <w:name w:val="Style7"/>
    <w:basedOn w:val="Citationintense"/>
    <w:link w:val="Style7Car"/>
    <w:autoRedefine/>
    <w:qFormat/>
    <w:rsid w:val="0012014C"/>
    <w:pPr>
      <w:pBdr>
        <w:bottom w:val="none" w:sz="0" w:space="0" w:color="auto"/>
      </w:pBdr>
      <w:jc w:val="center"/>
    </w:pPr>
    <w:rPr>
      <w:i w:val="0"/>
      <w:color w:val="548DD4" w:themeColor="text2" w:themeTint="99"/>
      <w:sz w:val="32"/>
      <w:szCs w:val="32"/>
    </w:rPr>
  </w:style>
  <w:style w:type="paragraph" w:styleId="Notedebasdepage">
    <w:name w:val="footnote text"/>
    <w:basedOn w:val="Normal"/>
    <w:link w:val="NotedebasdepageCar"/>
    <w:uiPriority w:val="99"/>
    <w:semiHidden/>
    <w:unhideWhenUsed/>
    <w:rsid w:val="00122AA2"/>
    <w:pPr>
      <w:spacing w:after="0"/>
    </w:pPr>
    <w:rPr>
      <w:sz w:val="20"/>
      <w:szCs w:val="20"/>
    </w:rPr>
  </w:style>
  <w:style w:type="character" w:customStyle="1" w:styleId="Style7Car">
    <w:name w:val="Style7 Car"/>
    <w:basedOn w:val="CitationintenseCar"/>
    <w:link w:val="Style7"/>
    <w:rsid w:val="0012014C"/>
    <w:rPr>
      <w:rFonts w:eastAsiaTheme="majorEastAsia" w:cstheme="majorBidi"/>
      <w:b/>
      <w:i w:val="0"/>
      <w:iCs/>
      <w:color w:val="1F497D" w:themeColor="text2"/>
      <w:sz w:val="32"/>
      <w:szCs w:val="32"/>
    </w:rPr>
  </w:style>
  <w:style w:type="character" w:customStyle="1" w:styleId="NotedebasdepageCar">
    <w:name w:val="Note de bas de page Car"/>
    <w:basedOn w:val="Policepardfaut"/>
    <w:link w:val="Notedebasdepage"/>
    <w:uiPriority w:val="99"/>
    <w:semiHidden/>
    <w:rsid w:val="00122AA2"/>
    <w:rPr>
      <w:rFonts w:cs="Times New Roman"/>
      <w:sz w:val="20"/>
      <w:szCs w:val="20"/>
    </w:rPr>
  </w:style>
  <w:style w:type="character" w:styleId="Appelnotedebasdep">
    <w:name w:val="footnote reference"/>
    <w:basedOn w:val="Policepardfaut"/>
    <w:uiPriority w:val="99"/>
    <w:semiHidden/>
    <w:unhideWhenUsed/>
    <w:rsid w:val="00122AA2"/>
    <w:rPr>
      <w:vertAlign w:val="superscript"/>
    </w:rPr>
  </w:style>
  <w:style w:type="character" w:styleId="lev">
    <w:name w:val="Strong"/>
    <w:basedOn w:val="Policepardfaut"/>
    <w:uiPriority w:val="22"/>
    <w:qFormat/>
    <w:rsid w:val="009D7AD2"/>
    <w:rPr>
      <w:b/>
      <w:bCs/>
    </w:rPr>
  </w:style>
  <w:style w:type="character" w:styleId="Lienhypertexte">
    <w:name w:val="Hyperlink"/>
    <w:basedOn w:val="Policepardfaut"/>
    <w:uiPriority w:val="99"/>
    <w:unhideWhenUsed/>
    <w:rsid w:val="00730BF1"/>
    <w:rPr>
      <w:color w:val="0000FF" w:themeColor="hyperlink"/>
      <w:u w:val="single"/>
    </w:rPr>
  </w:style>
  <w:style w:type="paragraph" w:styleId="Textedebulles">
    <w:name w:val="Balloon Text"/>
    <w:basedOn w:val="Normal"/>
    <w:link w:val="TextedebullesCar"/>
    <w:uiPriority w:val="99"/>
    <w:semiHidden/>
    <w:unhideWhenUsed/>
    <w:rsid w:val="00FF0E7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E70"/>
    <w:rPr>
      <w:rFonts w:ascii="Tahoma" w:hAnsi="Tahoma" w:cs="Tahoma"/>
      <w:sz w:val="16"/>
      <w:szCs w:val="16"/>
    </w:rPr>
  </w:style>
  <w:style w:type="paragraph" w:styleId="En-ttedetabledesmatires">
    <w:name w:val="TOC Heading"/>
    <w:basedOn w:val="Titre1"/>
    <w:next w:val="Normal"/>
    <w:uiPriority w:val="39"/>
    <w:unhideWhenUsed/>
    <w:qFormat/>
    <w:rsid w:val="007B4126"/>
    <w:pPr>
      <w:spacing w:before="480" w:after="0"/>
      <w:jc w:val="left"/>
      <w:outlineLvl w:val="9"/>
    </w:pPr>
    <w:rPr>
      <w:rFonts w:asciiTheme="majorHAnsi" w:hAnsiTheme="majorHAnsi"/>
      <w:color w:val="4F81BD" w:themeColor="accent1"/>
      <w:sz w:val="28"/>
      <w:szCs w:val="28"/>
      <w:lang w:eastAsia="fr-FR"/>
      <w14:textFill>
        <w14:solidFill>
          <w14:schemeClr w14:val="accent1">
            <w14:lumMod w14:val="75000"/>
            <w14:lumMod w14:val="60000"/>
            <w14:lumOff w14:val="40000"/>
          </w14:schemeClr>
        </w14:solidFill>
      </w14:textFill>
    </w:rPr>
  </w:style>
  <w:style w:type="paragraph" w:styleId="TM1">
    <w:name w:val="toc 1"/>
    <w:basedOn w:val="Normal"/>
    <w:next w:val="Normal"/>
    <w:autoRedefine/>
    <w:uiPriority w:val="39"/>
    <w:unhideWhenUsed/>
    <w:qFormat/>
    <w:rsid w:val="007B4126"/>
    <w:pPr>
      <w:spacing w:after="100"/>
    </w:pPr>
  </w:style>
  <w:style w:type="paragraph" w:styleId="TM2">
    <w:name w:val="toc 2"/>
    <w:basedOn w:val="Normal"/>
    <w:next w:val="Normal"/>
    <w:autoRedefine/>
    <w:uiPriority w:val="39"/>
    <w:unhideWhenUsed/>
    <w:qFormat/>
    <w:rsid w:val="001D3F9F"/>
    <w:pPr>
      <w:spacing w:after="100" w:line="276" w:lineRule="auto"/>
      <w:ind w:left="220"/>
      <w:jc w:val="left"/>
    </w:pPr>
    <w:rPr>
      <w:rFonts w:eastAsiaTheme="minorEastAsia" w:cstheme="minorBidi"/>
      <w:szCs w:val="22"/>
      <w:lang w:eastAsia="fr-FR"/>
    </w:rPr>
  </w:style>
  <w:style w:type="paragraph" w:styleId="TM3">
    <w:name w:val="toc 3"/>
    <w:basedOn w:val="Normal"/>
    <w:next w:val="Normal"/>
    <w:autoRedefine/>
    <w:uiPriority w:val="39"/>
    <w:semiHidden/>
    <w:unhideWhenUsed/>
    <w:qFormat/>
    <w:rsid w:val="001D3F9F"/>
    <w:pPr>
      <w:spacing w:after="100" w:line="276" w:lineRule="auto"/>
      <w:ind w:left="440"/>
      <w:jc w:val="left"/>
    </w:pPr>
    <w:rPr>
      <w:rFonts w:eastAsiaTheme="minorEastAsia" w:cstheme="minorBidi"/>
      <w:szCs w:val="22"/>
      <w:lang w:eastAsia="fr-FR"/>
    </w:rPr>
  </w:style>
  <w:style w:type="paragraph" w:styleId="Titre">
    <w:name w:val="Title"/>
    <w:basedOn w:val="Normal"/>
    <w:next w:val="Normal"/>
    <w:link w:val="TitreCar"/>
    <w:autoRedefine/>
    <w:uiPriority w:val="10"/>
    <w:qFormat/>
    <w:rsid w:val="001745C0"/>
    <w:pPr>
      <w:pBdr>
        <w:bottom w:val="single" w:sz="8" w:space="4" w:color="4F81BD" w:themeColor="accent1"/>
      </w:pBdr>
      <w:spacing w:after="0"/>
      <w:contextualSpacing/>
      <w:jc w:val="left"/>
    </w:pPr>
    <w:rPr>
      <w:rFonts w:eastAsia="Calibri" w:cstheme="majorBidi"/>
      <w:b/>
      <w:color w:val="002060"/>
      <w:spacing w:val="5"/>
      <w:kern w:val="28"/>
      <w:sz w:val="24"/>
      <w:szCs w:val="52"/>
    </w:rPr>
  </w:style>
  <w:style w:type="character" w:customStyle="1" w:styleId="TitreCar">
    <w:name w:val="Titre Car"/>
    <w:basedOn w:val="Policepardfaut"/>
    <w:link w:val="Titre"/>
    <w:uiPriority w:val="10"/>
    <w:rsid w:val="001745C0"/>
    <w:rPr>
      <w:rFonts w:eastAsia="Calibri" w:cstheme="majorBidi"/>
      <w:b/>
      <w:color w:val="002060"/>
      <w:spacing w:val="5"/>
      <w:kern w:val="28"/>
      <w:sz w:val="24"/>
      <w:szCs w:val="52"/>
    </w:rPr>
  </w:style>
  <w:style w:type="paragraph" w:styleId="Sansinterligne">
    <w:name w:val="No Spacing"/>
    <w:uiPriority w:val="1"/>
    <w:qFormat/>
    <w:rsid w:val="00AF6299"/>
    <w:pPr>
      <w:numPr>
        <w:numId w:val="20"/>
      </w:numPr>
      <w:spacing w:after="0" w:line="240" w:lineRule="auto"/>
    </w:pPr>
    <w:rPr>
      <w:rFonts w:eastAsiaTheme="minorHAnsi"/>
      <w:b/>
      <w:sz w:val="24"/>
    </w:rPr>
  </w:style>
  <w:style w:type="paragraph" w:customStyle="1" w:styleId="Standard">
    <w:name w:val="Standard"/>
    <w:rsid w:val="001F3C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36">
    <w:name w:val="WWNum36"/>
    <w:basedOn w:val="Aucuneliste"/>
    <w:rsid w:val="001F3C6E"/>
    <w:pPr>
      <w:numPr>
        <w:numId w:val="22"/>
      </w:numPr>
    </w:pPr>
  </w:style>
  <w:style w:type="paragraph" w:customStyle="1" w:styleId="Style8">
    <w:name w:val="Style8"/>
    <w:basedOn w:val="Titre2"/>
    <w:link w:val="Style8Car"/>
    <w:autoRedefine/>
    <w:qFormat/>
    <w:rsid w:val="00C17F13"/>
    <w:pPr>
      <w:spacing w:before="320" w:after="360"/>
      <w:jc w:val="left"/>
    </w:pPr>
    <w:rPr>
      <w:rFonts w:asciiTheme="minorHAnsi" w:hAnsiTheme="minorHAnsi" w:cstheme="minorHAnsi"/>
      <w:color w:val="92CDDC" w:themeColor="accent5" w:themeTint="99"/>
      <w:sz w:val="30"/>
      <w:szCs w:val="30"/>
    </w:rPr>
  </w:style>
  <w:style w:type="character" w:styleId="Marquedecommentaire">
    <w:name w:val="annotation reference"/>
    <w:basedOn w:val="Policepardfaut"/>
    <w:uiPriority w:val="99"/>
    <w:semiHidden/>
    <w:unhideWhenUsed/>
    <w:rsid w:val="00EF33C7"/>
    <w:rPr>
      <w:sz w:val="16"/>
      <w:szCs w:val="16"/>
    </w:rPr>
  </w:style>
  <w:style w:type="character" w:customStyle="1" w:styleId="Style2Car">
    <w:name w:val="Style2 Car"/>
    <w:basedOn w:val="ParagraphedelisteCar"/>
    <w:link w:val="Style2"/>
    <w:rsid w:val="00AD08E2"/>
    <w:rPr>
      <w:rFonts w:cs="Times New Roman"/>
      <w:b/>
      <w:szCs w:val="24"/>
    </w:rPr>
  </w:style>
  <w:style w:type="character" w:customStyle="1" w:styleId="Style8Car">
    <w:name w:val="Style8 Car"/>
    <w:basedOn w:val="Style2Car"/>
    <w:link w:val="Style8"/>
    <w:rsid w:val="00C17F13"/>
    <w:rPr>
      <w:rFonts w:eastAsiaTheme="majorEastAsia" w:cstheme="minorHAnsi"/>
      <w:b/>
      <w:bCs/>
      <w:color w:val="92CDDC" w:themeColor="accent5" w:themeTint="99"/>
      <w:sz w:val="30"/>
      <w:szCs w:val="30"/>
    </w:rPr>
  </w:style>
  <w:style w:type="paragraph" w:styleId="Commentaire">
    <w:name w:val="annotation text"/>
    <w:basedOn w:val="Normal"/>
    <w:link w:val="CommentaireCar"/>
    <w:uiPriority w:val="99"/>
    <w:semiHidden/>
    <w:unhideWhenUsed/>
    <w:rsid w:val="00EF33C7"/>
    <w:rPr>
      <w:sz w:val="20"/>
      <w:szCs w:val="20"/>
    </w:rPr>
  </w:style>
  <w:style w:type="character" w:customStyle="1" w:styleId="CommentaireCar">
    <w:name w:val="Commentaire Car"/>
    <w:basedOn w:val="Policepardfaut"/>
    <w:link w:val="Commentaire"/>
    <w:uiPriority w:val="99"/>
    <w:semiHidden/>
    <w:rsid w:val="00EF33C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EF33C7"/>
    <w:rPr>
      <w:b/>
      <w:bCs/>
    </w:rPr>
  </w:style>
  <w:style w:type="character" w:customStyle="1" w:styleId="ObjetducommentaireCar">
    <w:name w:val="Objet du commentaire Car"/>
    <w:basedOn w:val="CommentaireCar"/>
    <w:link w:val="Objetducommentaire"/>
    <w:uiPriority w:val="99"/>
    <w:semiHidden/>
    <w:rsid w:val="00EF33C7"/>
    <w:rPr>
      <w:rFonts w:cs="Times New Roman"/>
      <w:b/>
      <w:bCs/>
      <w:sz w:val="20"/>
      <w:szCs w:val="20"/>
    </w:rPr>
  </w:style>
  <w:style w:type="paragraph" w:styleId="NormalWeb">
    <w:name w:val="Normal (Web)"/>
    <w:basedOn w:val="Normal"/>
    <w:uiPriority w:val="99"/>
    <w:unhideWhenUsed/>
    <w:rsid w:val="00AE3240"/>
    <w:pPr>
      <w:spacing w:before="100" w:beforeAutospacing="1" w:after="100" w:afterAutospacing="1"/>
      <w:jc w:val="left"/>
    </w:pPr>
    <w:rPr>
      <w:rFonts w:ascii="Times New Roman" w:eastAsia="Times New Roman" w:hAnsi="Times New Roman"/>
      <w:sz w:val="24"/>
      <w:lang w:eastAsia="fr-FR"/>
    </w:rPr>
  </w:style>
  <w:style w:type="character" w:customStyle="1" w:styleId="apple-converted-space">
    <w:name w:val="apple-converted-space"/>
    <w:basedOn w:val="Policepardfaut"/>
    <w:rsid w:val="00AE3240"/>
  </w:style>
  <w:style w:type="paragraph" w:customStyle="1" w:styleId="Style9">
    <w:name w:val="Style9"/>
    <w:basedOn w:val="Citationintense"/>
    <w:link w:val="Style9Car"/>
    <w:qFormat/>
    <w:rsid w:val="008D3881"/>
  </w:style>
  <w:style w:type="character" w:customStyle="1" w:styleId="Style9Car">
    <w:name w:val="Style9 Car"/>
    <w:basedOn w:val="CitationintenseCar"/>
    <w:link w:val="Style9"/>
    <w:rsid w:val="008D3881"/>
    <w:rPr>
      <w:rFonts w:eastAsiaTheme="majorEastAsia" w:cstheme="majorBidi"/>
      <w:b/>
      <w:i/>
      <w:iCs/>
      <w:color w:val="4F81BD" w:themeColor="accent1"/>
      <w:sz w:val="24"/>
      <w:szCs w:val="26"/>
    </w:rPr>
  </w:style>
  <w:style w:type="paragraph" w:customStyle="1" w:styleId="Texte">
    <w:name w:val="Texte"/>
    <w:rsid w:val="00EC44AE"/>
    <w:pPr>
      <w:autoSpaceDE w:val="0"/>
      <w:autoSpaceDN w:val="0"/>
      <w:adjustRightInd w:val="0"/>
      <w:spacing w:after="0" w:line="240" w:lineRule="auto"/>
      <w:ind w:firstLine="480"/>
      <w:jc w:val="center"/>
    </w:pPr>
    <w:rPr>
      <w:rFonts w:ascii="Times New Roman" w:eastAsia="Times New Roman" w:hAnsi="Times New Roman" w:cs="Times New Roman"/>
      <w:color w:val="000000"/>
      <w:sz w:val="20"/>
      <w:szCs w:val="24"/>
      <w:lang w:eastAsia="fr-FR"/>
    </w:rPr>
  </w:style>
  <w:style w:type="table" w:styleId="Grilledutableau">
    <w:name w:val="Table Grid"/>
    <w:basedOn w:val="TableauNormal"/>
    <w:uiPriority w:val="59"/>
    <w:rsid w:val="00EC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B3DF0"/>
    <w:pPr>
      <w:spacing w:after="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12">
      <w:bodyDiv w:val="1"/>
      <w:marLeft w:val="0"/>
      <w:marRight w:val="0"/>
      <w:marTop w:val="0"/>
      <w:marBottom w:val="0"/>
      <w:divBdr>
        <w:top w:val="none" w:sz="0" w:space="0" w:color="auto"/>
        <w:left w:val="none" w:sz="0" w:space="0" w:color="auto"/>
        <w:bottom w:val="none" w:sz="0" w:space="0" w:color="auto"/>
        <w:right w:val="none" w:sz="0" w:space="0" w:color="auto"/>
      </w:divBdr>
    </w:div>
    <w:div w:id="175385391">
      <w:bodyDiv w:val="1"/>
      <w:marLeft w:val="0"/>
      <w:marRight w:val="0"/>
      <w:marTop w:val="0"/>
      <w:marBottom w:val="0"/>
      <w:divBdr>
        <w:top w:val="none" w:sz="0" w:space="0" w:color="auto"/>
        <w:left w:val="none" w:sz="0" w:space="0" w:color="auto"/>
        <w:bottom w:val="none" w:sz="0" w:space="0" w:color="auto"/>
        <w:right w:val="none" w:sz="0" w:space="0" w:color="auto"/>
      </w:divBdr>
      <w:divsChild>
        <w:div w:id="1442647038">
          <w:marLeft w:val="446"/>
          <w:marRight w:val="0"/>
          <w:marTop w:val="77"/>
          <w:marBottom w:val="0"/>
          <w:divBdr>
            <w:top w:val="none" w:sz="0" w:space="0" w:color="auto"/>
            <w:left w:val="none" w:sz="0" w:space="0" w:color="auto"/>
            <w:bottom w:val="none" w:sz="0" w:space="0" w:color="auto"/>
            <w:right w:val="none" w:sz="0" w:space="0" w:color="auto"/>
          </w:divBdr>
        </w:div>
      </w:divsChild>
    </w:div>
    <w:div w:id="431710729">
      <w:bodyDiv w:val="1"/>
      <w:marLeft w:val="0"/>
      <w:marRight w:val="0"/>
      <w:marTop w:val="0"/>
      <w:marBottom w:val="0"/>
      <w:divBdr>
        <w:top w:val="none" w:sz="0" w:space="0" w:color="auto"/>
        <w:left w:val="none" w:sz="0" w:space="0" w:color="auto"/>
        <w:bottom w:val="none" w:sz="0" w:space="0" w:color="auto"/>
        <w:right w:val="none" w:sz="0" w:space="0" w:color="auto"/>
      </w:divBdr>
    </w:div>
    <w:div w:id="619805121">
      <w:bodyDiv w:val="1"/>
      <w:marLeft w:val="0"/>
      <w:marRight w:val="0"/>
      <w:marTop w:val="0"/>
      <w:marBottom w:val="0"/>
      <w:divBdr>
        <w:top w:val="none" w:sz="0" w:space="0" w:color="auto"/>
        <w:left w:val="none" w:sz="0" w:space="0" w:color="auto"/>
        <w:bottom w:val="none" w:sz="0" w:space="0" w:color="auto"/>
        <w:right w:val="none" w:sz="0" w:space="0" w:color="auto"/>
      </w:divBdr>
    </w:div>
    <w:div w:id="945576312">
      <w:bodyDiv w:val="1"/>
      <w:marLeft w:val="0"/>
      <w:marRight w:val="0"/>
      <w:marTop w:val="0"/>
      <w:marBottom w:val="0"/>
      <w:divBdr>
        <w:top w:val="none" w:sz="0" w:space="0" w:color="auto"/>
        <w:left w:val="none" w:sz="0" w:space="0" w:color="auto"/>
        <w:bottom w:val="none" w:sz="0" w:space="0" w:color="auto"/>
        <w:right w:val="none" w:sz="0" w:space="0" w:color="auto"/>
      </w:divBdr>
    </w:div>
    <w:div w:id="1518613592">
      <w:bodyDiv w:val="1"/>
      <w:marLeft w:val="0"/>
      <w:marRight w:val="0"/>
      <w:marTop w:val="0"/>
      <w:marBottom w:val="0"/>
      <w:divBdr>
        <w:top w:val="none" w:sz="0" w:space="0" w:color="auto"/>
        <w:left w:val="none" w:sz="0" w:space="0" w:color="auto"/>
        <w:bottom w:val="none" w:sz="0" w:space="0" w:color="auto"/>
        <w:right w:val="none" w:sz="0" w:space="0" w:color="auto"/>
      </w:divBdr>
      <w:divsChild>
        <w:div w:id="796339192">
          <w:marLeft w:val="274"/>
          <w:marRight w:val="0"/>
          <w:marTop w:val="0"/>
          <w:marBottom w:val="0"/>
          <w:divBdr>
            <w:top w:val="none" w:sz="0" w:space="0" w:color="auto"/>
            <w:left w:val="none" w:sz="0" w:space="0" w:color="auto"/>
            <w:bottom w:val="none" w:sz="0" w:space="0" w:color="auto"/>
            <w:right w:val="none" w:sz="0" w:space="0" w:color="auto"/>
          </w:divBdr>
        </w:div>
        <w:div w:id="1690985007">
          <w:marLeft w:val="274"/>
          <w:marRight w:val="0"/>
          <w:marTop w:val="0"/>
          <w:marBottom w:val="0"/>
          <w:divBdr>
            <w:top w:val="none" w:sz="0" w:space="0" w:color="auto"/>
            <w:left w:val="none" w:sz="0" w:space="0" w:color="auto"/>
            <w:bottom w:val="none" w:sz="0" w:space="0" w:color="auto"/>
            <w:right w:val="none" w:sz="0" w:space="0" w:color="auto"/>
          </w:divBdr>
        </w:div>
        <w:div w:id="1545170816">
          <w:marLeft w:val="274"/>
          <w:marRight w:val="0"/>
          <w:marTop w:val="0"/>
          <w:marBottom w:val="0"/>
          <w:divBdr>
            <w:top w:val="none" w:sz="0" w:space="0" w:color="auto"/>
            <w:left w:val="none" w:sz="0" w:space="0" w:color="auto"/>
            <w:bottom w:val="none" w:sz="0" w:space="0" w:color="auto"/>
            <w:right w:val="none" w:sz="0" w:space="0" w:color="auto"/>
          </w:divBdr>
        </w:div>
        <w:div w:id="1158615557">
          <w:marLeft w:val="274"/>
          <w:marRight w:val="0"/>
          <w:marTop w:val="0"/>
          <w:marBottom w:val="0"/>
          <w:divBdr>
            <w:top w:val="none" w:sz="0" w:space="0" w:color="auto"/>
            <w:left w:val="none" w:sz="0" w:space="0" w:color="auto"/>
            <w:bottom w:val="none" w:sz="0" w:space="0" w:color="auto"/>
            <w:right w:val="none" w:sz="0" w:space="0" w:color="auto"/>
          </w:divBdr>
        </w:div>
        <w:div w:id="387654339">
          <w:marLeft w:val="274"/>
          <w:marRight w:val="0"/>
          <w:marTop w:val="0"/>
          <w:marBottom w:val="0"/>
          <w:divBdr>
            <w:top w:val="none" w:sz="0" w:space="0" w:color="auto"/>
            <w:left w:val="none" w:sz="0" w:space="0" w:color="auto"/>
            <w:bottom w:val="none" w:sz="0" w:space="0" w:color="auto"/>
            <w:right w:val="none" w:sz="0" w:space="0" w:color="auto"/>
          </w:divBdr>
        </w:div>
        <w:div w:id="1464075480">
          <w:marLeft w:val="274"/>
          <w:marRight w:val="0"/>
          <w:marTop w:val="0"/>
          <w:marBottom w:val="0"/>
          <w:divBdr>
            <w:top w:val="none" w:sz="0" w:space="0" w:color="auto"/>
            <w:left w:val="none" w:sz="0" w:space="0" w:color="auto"/>
            <w:bottom w:val="none" w:sz="0" w:space="0" w:color="auto"/>
            <w:right w:val="none" w:sz="0" w:space="0" w:color="auto"/>
          </w:divBdr>
        </w:div>
        <w:div w:id="1569419121">
          <w:marLeft w:val="274"/>
          <w:marRight w:val="0"/>
          <w:marTop w:val="0"/>
          <w:marBottom w:val="0"/>
          <w:divBdr>
            <w:top w:val="none" w:sz="0" w:space="0" w:color="auto"/>
            <w:left w:val="none" w:sz="0" w:space="0" w:color="auto"/>
            <w:bottom w:val="none" w:sz="0" w:space="0" w:color="auto"/>
            <w:right w:val="none" w:sz="0" w:space="0" w:color="auto"/>
          </w:divBdr>
        </w:div>
      </w:divsChild>
    </w:div>
    <w:div w:id="1592930932">
      <w:bodyDiv w:val="1"/>
      <w:marLeft w:val="0"/>
      <w:marRight w:val="0"/>
      <w:marTop w:val="0"/>
      <w:marBottom w:val="0"/>
      <w:divBdr>
        <w:top w:val="none" w:sz="0" w:space="0" w:color="auto"/>
        <w:left w:val="none" w:sz="0" w:space="0" w:color="auto"/>
        <w:bottom w:val="none" w:sz="0" w:space="0" w:color="auto"/>
        <w:right w:val="none" w:sz="0" w:space="0" w:color="auto"/>
      </w:divBdr>
    </w:div>
    <w:div w:id="1873491152">
      <w:bodyDiv w:val="1"/>
      <w:marLeft w:val="0"/>
      <w:marRight w:val="0"/>
      <w:marTop w:val="0"/>
      <w:marBottom w:val="0"/>
      <w:divBdr>
        <w:top w:val="none" w:sz="0" w:space="0" w:color="auto"/>
        <w:left w:val="none" w:sz="0" w:space="0" w:color="auto"/>
        <w:bottom w:val="none" w:sz="0" w:space="0" w:color="auto"/>
        <w:right w:val="none" w:sz="0" w:space="0" w:color="auto"/>
      </w:divBdr>
      <w:divsChild>
        <w:div w:id="1590237399">
          <w:marLeft w:val="446"/>
          <w:marRight w:val="0"/>
          <w:marTop w:val="77"/>
          <w:marBottom w:val="0"/>
          <w:divBdr>
            <w:top w:val="none" w:sz="0" w:space="0" w:color="auto"/>
            <w:left w:val="none" w:sz="0" w:space="0" w:color="auto"/>
            <w:bottom w:val="none" w:sz="0" w:space="0" w:color="auto"/>
            <w:right w:val="none" w:sz="0" w:space="0" w:color="auto"/>
          </w:divBdr>
        </w:div>
        <w:div w:id="49323085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moncompteformation.gouv.fr"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0538EA-5E45-4A33-8DCE-BFD0ABB72A27}" type="doc">
      <dgm:prSet loTypeId="urn:diagrams.loki3.com/BracketList+Icon" loCatId="list" qsTypeId="urn:microsoft.com/office/officeart/2005/8/quickstyle/simple1" qsCatId="simple" csTypeId="urn:microsoft.com/office/officeart/2005/8/colors/accent1_1" csCatId="accent1" phldr="1"/>
      <dgm:spPr/>
      <dgm:t>
        <a:bodyPr/>
        <a:lstStyle/>
        <a:p>
          <a:endParaRPr lang="fr-FR"/>
        </a:p>
      </dgm:t>
    </dgm:pt>
    <dgm:pt modelId="{0C52FBD6-ADA4-4903-ABE5-CD94A8681BAF}">
      <dgm:prSet phldrT="[Texte]" custT="1"/>
      <dgm:spPr>
        <a:solidFill>
          <a:schemeClr val="accent1">
            <a:lumMod val="20000"/>
            <a:lumOff val="80000"/>
          </a:schemeClr>
        </a:solidFill>
      </dgm:spPr>
      <dgm:t>
        <a:bodyPr/>
        <a:lstStyle/>
        <a:p>
          <a:pPr algn="just"/>
          <a:r>
            <a:rPr lang="fr-FR" sz="1100" dirty="0" smtClean="0">
              <a:latin typeface="+mn-lt"/>
            </a:rPr>
            <a:t>Positionnement et évaluation pré-formative du candidat</a:t>
          </a:r>
          <a:endParaRPr lang="fr-FR" sz="1100" dirty="0">
            <a:latin typeface="+mn-lt"/>
          </a:endParaRPr>
        </a:p>
      </dgm:t>
    </dgm:pt>
    <dgm:pt modelId="{7DD180BD-A34E-4C40-ABFF-6826890F5E83}" type="parTrans" cxnId="{73C939D0-C2D4-468B-8B9B-0F2C9C9283FA}">
      <dgm:prSet/>
      <dgm:spPr/>
      <dgm:t>
        <a:bodyPr/>
        <a:lstStyle/>
        <a:p>
          <a:endParaRPr lang="fr-FR"/>
        </a:p>
      </dgm:t>
    </dgm:pt>
    <dgm:pt modelId="{1946CB1A-F498-4AA5-897A-11BDD81575F0}" type="sibTrans" cxnId="{73C939D0-C2D4-468B-8B9B-0F2C9C9283FA}">
      <dgm:prSet/>
      <dgm:spPr/>
      <dgm:t>
        <a:bodyPr/>
        <a:lstStyle/>
        <a:p>
          <a:endParaRPr lang="fr-FR"/>
        </a:p>
      </dgm:t>
    </dgm:pt>
    <dgm:pt modelId="{2A8FBEDD-EDC4-4E96-B815-259A922B049A}">
      <dgm:prSet phldrT="[Texte]" custT="1"/>
      <dgm:spPr>
        <a:solidFill>
          <a:schemeClr val="accent1">
            <a:lumMod val="20000"/>
            <a:lumOff val="80000"/>
          </a:schemeClr>
        </a:solidFill>
      </dgm:spPr>
      <dgm:t>
        <a:bodyPr/>
        <a:lstStyle/>
        <a:p>
          <a:pPr algn="just"/>
          <a:r>
            <a:rPr lang="fr-FR" sz="1100" dirty="0" smtClean="0">
              <a:latin typeface="+mn-lt"/>
            </a:rPr>
            <a:t>Définition d’un parcours de formation individualisé</a:t>
          </a:r>
          <a:endParaRPr lang="fr-FR" sz="1100" dirty="0">
            <a:latin typeface="+mn-lt"/>
          </a:endParaRPr>
        </a:p>
      </dgm:t>
    </dgm:pt>
    <dgm:pt modelId="{68913F71-6689-4493-AFEB-9D32B8375AE5}" type="parTrans" cxnId="{D8189DCB-3BF8-486A-BCD4-0708BC4D90A6}">
      <dgm:prSet/>
      <dgm:spPr/>
      <dgm:t>
        <a:bodyPr/>
        <a:lstStyle/>
        <a:p>
          <a:endParaRPr lang="fr-FR"/>
        </a:p>
      </dgm:t>
    </dgm:pt>
    <dgm:pt modelId="{F2F21BC7-3305-4C3F-BACA-0C665977A007}" type="sibTrans" cxnId="{D8189DCB-3BF8-486A-BCD4-0708BC4D90A6}">
      <dgm:prSet/>
      <dgm:spPr/>
      <dgm:t>
        <a:bodyPr/>
        <a:lstStyle/>
        <a:p>
          <a:endParaRPr lang="fr-FR"/>
        </a:p>
      </dgm:t>
    </dgm:pt>
    <dgm:pt modelId="{499607A4-518D-48BE-8E9B-ED79C07FF2F3}">
      <dgm:prSet phldrT="[Texte]" custT="1"/>
      <dgm:spPr>
        <a:solidFill>
          <a:schemeClr val="accent1">
            <a:lumMod val="20000"/>
            <a:lumOff val="80000"/>
          </a:schemeClr>
        </a:solidFill>
      </dgm:spPr>
      <dgm:t>
        <a:bodyPr/>
        <a:lstStyle/>
        <a:p>
          <a:pPr algn="just"/>
          <a:r>
            <a:rPr lang="fr-FR" sz="1100" dirty="0" smtClean="0">
              <a:latin typeface="+mn-lt"/>
            </a:rPr>
            <a:t>Evaluation de la maîtrise des compétences en lien avec le référentiel de certification</a:t>
          </a:r>
          <a:endParaRPr lang="fr-FR" sz="1100" dirty="0">
            <a:latin typeface="+mn-lt"/>
          </a:endParaRPr>
        </a:p>
      </dgm:t>
    </dgm:pt>
    <dgm:pt modelId="{4A5F3F51-EF2D-4257-8C66-4122ADCEF261}" type="parTrans" cxnId="{0C6A8E4D-EF1E-43E2-8A9D-712D6C598E7C}">
      <dgm:prSet/>
      <dgm:spPr/>
      <dgm:t>
        <a:bodyPr/>
        <a:lstStyle/>
        <a:p>
          <a:endParaRPr lang="fr-FR"/>
        </a:p>
      </dgm:t>
    </dgm:pt>
    <dgm:pt modelId="{A3E62C7A-203E-425F-B798-8BFEB4BE7205}" type="sibTrans" cxnId="{0C6A8E4D-EF1E-43E2-8A9D-712D6C598E7C}">
      <dgm:prSet/>
      <dgm:spPr/>
      <dgm:t>
        <a:bodyPr/>
        <a:lstStyle/>
        <a:p>
          <a:endParaRPr lang="fr-FR"/>
        </a:p>
      </dgm:t>
    </dgm:pt>
    <dgm:pt modelId="{60A54E4D-ACDA-425A-8334-C72BB9947EE2}">
      <dgm:prSet phldrT="[Texte]" custT="1"/>
      <dgm:spPr>
        <a:solidFill>
          <a:schemeClr val="accent1">
            <a:lumMod val="20000"/>
            <a:lumOff val="80000"/>
          </a:schemeClr>
        </a:solidFill>
      </dgm:spPr>
      <dgm:t>
        <a:bodyPr/>
        <a:lstStyle/>
        <a:p>
          <a:pPr algn="just"/>
          <a:r>
            <a:rPr lang="fr-FR" sz="1100" dirty="0" smtClean="0">
              <a:latin typeface="+mn-lt"/>
            </a:rPr>
            <a:t>Proposition de validation des acquis par le Jury Technique</a:t>
          </a:r>
          <a:endParaRPr lang="fr-FR" sz="1100" dirty="0">
            <a:latin typeface="+mn-lt"/>
          </a:endParaRPr>
        </a:p>
      </dgm:t>
    </dgm:pt>
    <dgm:pt modelId="{7B0D3696-4EEF-4A23-9A9F-705127691221}" type="parTrans" cxnId="{718FDC45-FED8-48DF-B505-59E21D89DC53}">
      <dgm:prSet/>
      <dgm:spPr/>
      <dgm:t>
        <a:bodyPr/>
        <a:lstStyle/>
        <a:p>
          <a:endParaRPr lang="fr-FR"/>
        </a:p>
      </dgm:t>
    </dgm:pt>
    <dgm:pt modelId="{34B2131C-2556-4EFF-9A99-2B92975E2566}" type="sibTrans" cxnId="{718FDC45-FED8-48DF-B505-59E21D89DC53}">
      <dgm:prSet/>
      <dgm:spPr/>
      <dgm:t>
        <a:bodyPr/>
        <a:lstStyle/>
        <a:p>
          <a:endParaRPr lang="fr-FR"/>
        </a:p>
      </dgm:t>
    </dgm:pt>
    <dgm:pt modelId="{2B436593-9DE2-485E-8621-332F08E383C0}">
      <dgm:prSet phldrT="[Texte]" custT="1"/>
      <dgm:spPr>
        <a:solidFill>
          <a:schemeClr val="accent1">
            <a:lumMod val="20000"/>
            <a:lumOff val="80000"/>
          </a:schemeClr>
        </a:solidFill>
      </dgm:spPr>
      <dgm:t>
        <a:bodyPr/>
        <a:lstStyle/>
        <a:p>
          <a:pPr algn="just"/>
          <a:r>
            <a:rPr lang="fr-FR" sz="1100" dirty="0" smtClean="0">
              <a:latin typeface="+mn-lt"/>
            </a:rPr>
            <a:t>Décision finale de la Commission de certification</a:t>
          </a:r>
          <a:endParaRPr lang="fr-FR" sz="1100" dirty="0">
            <a:latin typeface="+mn-lt"/>
          </a:endParaRPr>
        </a:p>
      </dgm:t>
    </dgm:pt>
    <dgm:pt modelId="{B1D886D0-A222-4212-934E-3D849FA5EC78}" type="parTrans" cxnId="{B96BBB25-1855-42B8-A16E-B3AEEDFD677B}">
      <dgm:prSet/>
      <dgm:spPr/>
      <dgm:t>
        <a:bodyPr/>
        <a:lstStyle/>
        <a:p>
          <a:endParaRPr lang="fr-FR"/>
        </a:p>
      </dgm:t>
    </dgm:pt>
    <dgm:pt modelId="{9430B76E-5218-4E43-92ED-CC13F59EE610}" type="sibTrans" cxnId="{B96BBB25-1855-42B8-A16E-B3AEEDFD677B}">
      <dgm:prSet/>
      <dgm:spPr/>
      <dgm:t>
        <a:bodyPr/>
        <a:lstStyle/>
        <a:p>
          <a:endParaRPr lang="fr-FR"/>
        </a:p>
      </dgm:t>
    </dgm:pt>
    <dgm:pt modelId="{C4E5EED7-49CF-428D-B0CF-CE5563AF2AB6}">
      <dgm:prSet phldrT="[Texte]" custT="1"/>
      <dgm:spPr>
        <a:solidFill>
          <a:schemeClr val="accent1">
            <a:lumMod val="40000"/>
            <a:lumOff val="60000"/>
          </a:schemeClr>
        </a:solidFill>
      </dgm:spPr>
      <dgm:t>
        <a:bodyPr/>
        <a:lstStyle/>
        <a:p>
          <a:pPr algn="just"/>
          <a:r>
            <a:rPr lang="fr-FR" sz="1100" dirty="0" smtClean="0">
              <a:latin typeface="+mn-lt"/>
            </a:rPr>
            <a:t>Décision finale de la Commission de certification</a:t>
          </a:r>
          <a:endParaRPr lang="fr-FR" sz="1100" dirty="0">
            <a:latin typeface="+mn-lt"/>
          </a:endParaRPr>
        </a:p>
      </dgm:t>
    </dgm:pt>
    <dgm:pt modelId="{24E97738-9CAF-4112-8078-8E98EFA7F805}" type="parTrans" cxnId="{2C17793E-B35B-4411-8012-8D7B2C5D832E}">
      <dgm:prSet/>
      <dgm:spPr/>
      <dgm:t>
        <a:bodyPr/>
        <a:lstStyle/>
        <a:p>
          <a:endParaRPr lang="fr-FR"/>
        </a:p>
      </dgm:t>
    </dgm:pt>
    <dgm:pt modelId="{A1A6547E-F948-4A74-88B6-4CC9DB02360E}" type="sibTrans" cxnId="{2C17793E-B35B-4411-8012-8D7B2C5D832E}">
      <dgm:prSet/>
      <dgm:spPr/>
      <dgm:t>
        <a:bodyPr/>
        <a:lstStyle/>
        <a:p>
          <a:endParaRPr lang="fr-FR"/>
        </a:p>
      </dgm:t>
    </dgm:pt>
    <dgm:pt modelId="{6ED4B7E8-4E61-41BE-8267-BFD6AE6BDB3C}">
      <dgm:prSet phldrT="[Texte]" custT="1"/>
      <dgm:spPr/>
      <dgm:t>
        <a:bodyPr/>
        <a:lstStyle/>
        <a:p>
          <a:r>
            <a:rPr lang="fr-FR" sz="1100" b="1" dirty="0" smtClean="0">
              <a:solidFill>
                <a:schemeClr val="accent5">
                  <a:lumMod val="60000"/>
                  <a:lumOff val="40000"/>
                </a:schemeClr>
              </a:solidFill>
              <a:latin typeface="+mn-lt"/>
            </a:rPr>
            <a:t>Par l’EVALUATION</a:t>
          </a:r>
        </a:p>
        <a:p>
          <a:r>
            <a:rPr lang="fr-FR" sz="1100" b="1" dirty="0" smtClean="0">
              <a:solidFill>
                <a:schemeClr val="accent5">
                  <a:lumMod val="60000"/>
                  <a:lumOff val="40000"/>
                </a:schemeClr>
              </a:solidFill>
              <a:latin typeface="+mn-lt"/>
            </a:rPr>
            <a:t>Après un parcours de formation</a:t>
          </a:r>
          <a:endParaRPr lang="fr-FR" sz="1100" b="1" dirty="0">
            <a:solidFill>
              <a:schemeClr val="accent5">
                <a:lumMod val="60000"/>
                <a:lumOff val="40000"/>
              </a:schemeClr>
            </a:solidFill>
            <a:latin typeface="+mn-lt"/>
          </a:endParaRPr>
        </a:p>
      </dgm:t>
    </dgm:pt>
    <dgm:pt modelId="{387EDFB4-2A56-4146-9654-C7640340AE58}" type="sibTrans" cxnId="{F48A8851-E957-4DD7-BD39-9637FF78451A}">
      <dgm:prSet/>
      <dgm:spPr/>
      <dgm:t>
        <a:bodyPr/>
        <a:lstStyle/>
        <a:p>
          <a:endParaRPr lang="fr-FR"/>
        </a:p>
      </dgm:t>
    </dgm:pt>
    <dgm:pt modelId="{3D3B9E0E-8700-49A8-86A6-308F34352D80}" type="parTrans" cxnId="{F48A8851-E957-4DD7-BD39-9637FF78451A}">
      <dgm:prSet/>
      <dgm:spPr/>
      <dgm:t>
        <a:bodyPr/>
        <a:lstStyle/>
        <a:p>
          <a:endParaRPr lang="fr-FR"/>
        </a:p>
      </dgm:t>
    </dgm:pt>
    <dgm:pt modelId="{6A771E5D-262E-4588-957E-1A7D09A8D23F}">
      <dgm:prSet phldrT="[Texte]" custT="1"/>
      <dgm:spPr>
        <a:solidFill>
          <a:schemeClr val="accent1">
            <a:lumMod val="40000"/>
            <a:lumOff val="60000"/>
          </a:schemeClr>
        </a:solidFill>
      </dgm:spPr>
      <dgm:t>
        <a:bodyPr/>
        <a:lstStyle/>
        <a:p>
          <a:pPr algn="just" eaLnBrk="1" latinLnBrk="0"/>
          <a:r>
            <a:rPr lang="fr-FR" sz="1100" dirty="0" smtClean="0">
              <a:latin typeface="+mn-lt"/>
            </a:rPr>
            <a:t>Constitution du dossier de VAE : présentation de l’expérience et des compétences professionnelles acquises par l’activité exercée / Accompagnement possible du candidat de 24 heures</a:t>
          </a:r>
          <a:endParaRPr lang="fr-FR" sz="1100" dirty="0">
            <a:latin typeface="+mn-lt"/>
          </a:endParaRPr>
        </a:p>
      </dgm:t>
    </dgm:pt>
    <dgm:pt modelId="{7EEF241E-5A98-4F15-8849-D17321FE5244}">
      <dgm:prSet phldrT="[Texte]" custT="1"/>
      <dgm:spPr>
        <a:solidFill>
          <a:schemeClr val="accent1">
            <a:lumMod val="40000"/>
            <a:lumOff val="60000"/>
          </a:schemeClr>
        </a:solidFill>
      </dgm:spPr>
      <dgm:t>
        <a:bodyPr/>
        <a:lstStyle/>
        <a:p>
          <a:pPr algn="just" eaLnBrk="1" latinLnBrk="0"/>
          <a:r>
            <a:rPr lang="fr-FR" sz="1100" dirty="0" smtClean="0">
              <a:latin typeface="+mn-lt"/>
            </a:rPr>
            <a:t>Dépôt de la demande de recevabilité auprès de l’organisme certificateur</a:t>
          </a:r>
          <a:endParaRPr lang="fr-FR" sz="1100" dirty="0">
            <a:latin typeface="+mn-lt"/>
          </a:endParaRPr>
        </a:p>
      </dgm:t>
    </dgm:pt>
    <dgm:pt modelId="{7668A89A-7696-49A2-BC59-62E9B455DBC4}">
      <dgm:prSet phldrT="[Texte]" custT="1"/>
      <dgm:spPr>
        <a:solidFill>
          <a:schemeClr val="accent1">
            <a:lumMod val="40000"/>
            <a:lumOff val="60000"/>
          </a:schemeClr>
        </a:solidFill>
      </dgm:spPr>
      <dgm:t>
        <a:bodyPr/>
        <a:lstStyle/>
        <a:p>
          <a:pPr algn="just"/>
          <a:r>
            <a:rPr lang="fr-FR" sz="1100" dirty="0" smtClean="0">
              <a:latin typeface="+mn-lt"/>
            </a:rPr>
            <a:t>Diagnostic de la VAE (recueil des compétences, identification du CQP )</a:t>
          </a:r>
          <a:endParaRPr lang="fr-FR" sz="1100" dirty="0">
            <a:latin typeface="+mn-lt"/>
          </a:endParaRPr>
        </a:p>
      </dgm:t>
    </dgm:pt>
    <dgm:pt modelId="{102D1C86-699E-433F-9F1E-ECB3BACED000}">
      <dgm:prSet phldrT="[Texte]" custT="1"/>
      <dgm:spPr/>
      <dgm:t>
        <a:bodyPr/>
        <a:lstStyle/>
        <a:p>
          <a:r>
            <a:rPr lang="fr-FR" sz="1100" b="1" dirty="0" smtClean="0">
              <a:solidFill>
                <a:schemeClr val="accent5">
                  <a:lumMod val="60000"/>
                  <a:lumOff val="40000"/>
                </a:schemeClr>
              </a:solidFill>
              <a:latin typeface="+mn-lt"/>
            </a:rPr>
            <a:t>Par la VAE</a:t>
          </a:r>
        </a:p>
        <a:p>
          <a:r>
            <a:rPr lang="fr-FR" sz="1100" b="1" dirty="0" smtClean="0">
              <a:solidFill>
                <a:schemeClr val="accent5">
                  <a:lumMod val="60000"/>
                  <a:lumOff val="40000"/>
                </a:schemeClr>
              </a:solidFill>
              <a:latin typeface="+mn-lt"/>
            </a:rPr>
            <a:t>La VAE une voie d’accès au CQP au même  titre que la formation </a:t>
          </a:r>
          <a:endParaRPr lang="fr-FR" sz="1100" b="1" dirty="0">
            <a:solidFill>
              <a:schemeClr val="accent5">
                <a:lumMod val="60000"/>
                <a:lumOff val="40000"/>
              </a:schemeClr>
            </a:solidFill>
            <a:latin typeface="+mn-lt"/>
          </a:endParaRPr>
        </a:p>
      </dgm:t>
    </dgm:pt>
    <dgm:pt modelId="{5203147C-69A7-4D4B-9AA7-959615A368F7}" type="sibTrans" cxnId="{178ED80E-1515-45F4-BFA5-A97C64F68E3A}">
      <dgm:prSet/>
      <dgm:spPr/>
      <dgm:t>
        <a:bodyPr/>
        <a:lstStyle/>
        <a:p>
          <a:endParaRPr lang="fr-FR"/>
        </a:p>
      </dgm:t>
    </dgm:pt>
    <dgm:pt modelId="{99EC4A26-0844-4E13-9896-C8BD40628830}" type="parTrans" cxnId="{178ED80E-1515-45F4-BFA5-A97C64F68E3A}">
      <dgm:prSet/>
      <dgm:spPr/>
      <dgm:t>
        <a:bodyPr/>
        <a:lstStyle/>
        <a:p>
          <a:endParaRPr lang="fr-FR"/>
        </a:p>
      </dgm:t>
    </dgm:pt>
    <dgm:pt modelId="{D8A3486B-C229-480A-B4DF-7BDEA880F001}" type="sibTrans" cxnId="{F5CD2799-E00F-4E21-8FD8-2DB25E3F2733}">
      <dgm:prSet/>
      <dgm:spPr/>
      <dgm:t>
        <a:bodyPr/>
        <a:lstStyle/>
        <a:p>
          <a:endParaRPr lang="fr-FR"/>
        </a:p>
      </dgm:t>
    </dgm:pt>
    <dgm:pt modelId="{F8AE7762-ED65-4B35-9E62-E2BD48FF657C}" type="parTrans" cxnId="{F5CD2799-E00F-4E21-8FD8-2DB25E3F2733}">
      <dgm:prSet/>
      <dgm:spPr/>
      <dgm:t>
        <a:bodyPr/>
        <a:lstStyle/>
        <a:p>
          <a:endParaRPr lang="fr-FR"/>
        </a:p>
      </dgm:t>
    </dgm:pt>
    <dgm:pt modelId="{4737687C-9C0B-4D48-B324-64E2C13636E8}" type="sibTrans" cxnId="{587F08FA-F369-4A72-BCA7-3CA26D8B2FEB}">
      <dgm:prSet/>
      <dgm:spPr/>
      <dgm:t>
        <a:bodyPr/>
        <a:lstStyle/>
        <a:p>
          <a:endParaRPr lang="fr-FR"/>
        </a:p>
      </dgm:t>
    </dgm:pt>
    <dgm:pt modelId="{4C86E6B1-AD19-4B1D-A50A-8D28F96AE307}" type="parTrans" cxnId="{587F08FA-F369-4A72-BCA7-3CA26D8B2FEB}">
      <dgm:prSet/>
      <dgm:spPr/>
      <dgm:t>
        <a:bodyPr/>
        <a:lstStyle/>
        <a:p>
          <a:endParaRPr lang="fr-FR"/>
        </a:p>
      </dgm:t>
    </dgm:pt>
    <dgm:pt modelId="{2353C933-D134-4EE3-A03B-17AB311B91E3}" type="sibTrans" cxnId="{F0C60839-5E89-44CE-A1E6-8C1A9607992C}">
      <dgm:prSet/>
      <dgm:spPr/>
      <dgm:t>
        <a:bodyPr/>
        <a:lstStyle/>
        <a:p>
          <a:endParaRPr lang="fr-FR"/>
        </a:p>
      </dgm:t>
    </dgm:pt>
    <dgm:pt modelId="{1367152F-E447-46D3-B220-D498FB39FA65}" type="parTrans" cxnId="{F0C60839-5E89-44CE-A1E6-8C1A9607992C}">
      <dgm:prSet/>
      <dgm:spPr/>
      <dgm:t>
        <a:bodyPr/>
        <a:lstStyle/>
        <a:p>
          <a:endParaRPr lang="fr-FR"/>
        </a:p>
      </dgm:t>
    </dgm:pt>
    <dgm:pt modelId="{61CA81F3-A75B-4250-AFB0-B4C4819D9C66}">
      <dgm:prSet phldrT="[Texte]" custT="1"/>
      <dgm:spPr>
        <a:solidFill>
          <a:schemeClr val="accent1">
            <a:lumMod val="40000"/>
            <a:lumOff val="60000"/>
          </a:schemeClr>
        </a:solidFill>
      </dgm:spPr>
      <dgm:t>
        <a:bodyPr/>
        <a:lstStyle/>
        <a:p>
          <a:pPr algn="just" eaLnBrk="1" latinLnBrk="0"/>
          <a:r>
            <a:rPr lang="fr-FR" sz="1100" dirty="0" smtClean="0">
              <a:latin typeface="+mn-lt"/>
            </a:rPr>
            <a:t>Evaluation du dossier et /ou entretien avec le Jury CQP au regard du référentiel de certification</a:t>
          </a:r>
          <a:endParaRPr lang="fr-FR" sz="1100" dirty="0">
            <a:latin typeface="+mn-lt"/>
          </a:endParaRPr>
        </a:p>
      </dgm:t>
    </dgm:pt>
    <dgm:pt modelId="{39E30E6C-C823-4E01-A4CB-1003505EF254}" type="parTrans" cxnId="{9AE1637D-BE15-4887-9E0A-5F8E4EC9593D}">
      <dgm:prSet/>
      <dgm:spPr/>
      <dgm:t>
        <a:bodyPr/>
        <a:lstStyle/>
        <a:p>
          <a:endParaRPr lang="fr-FR"/>
        </a:p>
      </dgm:t>
    </dgm:pt>
    <dgm:pt modelId="{4721A494-048F-4F11-877B-D58C70A3DB58}" type="sibTrans" cxnId="{9AE1637D-BE15-4887-9E0A-5F8E4EC9593D}">
      <dgm:prSet/>
      <dgm:spPr/>
      <dgm:t>
        <a:bodyPr/>
        <a:lstStyle/>
        <a:p>
          <a:endParaRPr lang="fr-FR"/>
        </a:p>
      </dgm:t>
    </dgm:pt>
    <dgm:pt modelId="{52705158-D14C-433B-B603-0B1A0CACC0FC}" type="pres">
      <dgm:prSet presAssocID="{4F0538EA-5E45-4A33-8DCE-BFD0ABB72A27}" presName="Name0" presStyleCnt="0">
        <dgm:presLayoutVars>
          <dgm:dir/>
          <dgm:animLvl val="lvl"/>
          <dgm:resizeHandles val="exact"/>
        </dgm:presLayoutVars>
      </dgm:prSet>
      <dgm:spPr/>
      <dgm:t>
        <a:bodyPr/>
        <a:lstStyle/>
        <a:p>
          <a:endParaRPr lang="fr-FR"/>
        </a:p>
      </dgm:t>
    </dgm:pt>
    <dgm:pt modelId="{BD4D0A90-90FD-4D26-BE5B-53A598DE4237}" type="pres">
      <dgm:prSet presAssocID="{6ED4B7E8-4E61-41BE-8267-BFD6AE6BDB3C}" presName="linNode" presStyleCnt="0"/>
      <dgm:spPr/>
      <dgm:t>
        <a:bodyPr/>
        <a:lstStyle/>
        <a:p>
          <a:endParaRPr lang="fr-FR"/>
        </a:p>
      </dgm:t>
    </dgm:pt>
    <dgm:pt modelId="{C5B3FE2F-F100-4B47-B2B7-4413964321E4}" type="pres">
      <dgm:prSet presAssocID="{6ED4B7E8-4E61-41BE-8267-BFD6AE6BDB3C}" presName="parTx" presStyleLbl="revTx" presStyleIdx="0" presStyleCnt="2">
        <dgm:presLayoutVars>
          <dgm:chMax val="1"/>
          <dgm:bulletEnabled val="1"/>
        </dgm:presLayoutVars>
      </dgm:prSet>
      <dgm:spPr/>
      <dgm:t>
        <a:bodyPr/>
        <a:lstStyle/>
        <a:p>
          <a:endParaRPr lang="fr-FR"/>
        </a:p>
      </dgm:t>
    </dgm:pt>
    <dgm:pt modelId="{61C48E65-CA2B-4EE4-8244-09C55DF9FB5E}" type="pres">
      <dgm:prSet presAssocID="{6ED4B7E8-4E61-41BE-8267-BFD6AE6BDB3C}" presName="bracket" presStyleLbl="parChTrans1D1" presStyleIdx="0" presStyleCnt="2"/>
      <dgm:spPr/>
      <dgm:t>
        <a:bodyPr/>
        <a:lstStyle/>
        <a:p>
          <a:endParaRPr lang="fr-FR"/>
        </a:p>
      </dgm:t>
    </dgm:pt>
    <dgm:pt modelId="{B3D78DDD-4662-45EC-9913-73C762EB796C}" type="pres">
      <dgm:prSet presAssocID="{6ED4B7E8-4E61-41BE-8267-BFD6AE6BDB3C}" presName="spH" presStyleCnt="0"/>
      <dgm:spPr/>
      <dgm:t>
        <a:bodyPr/>
        <a:lstStyle/>
        <a:p>
          <a:endParaRPr lang="fr-FR"/>
        </a:p>
      </dgm:t>
    </dgm:pt>
    <dgm:pt modelId="{8C55F696-7A74-45EA-816A-D34DABA45B0C}" type="pres">
      <dgm:prSet presAssocID="{6ED4B7E8-4E61-41BE-8267-BFD6AE6BDB3C}" presName="desTx" presStyleLbl="node1" presStyleIdx="0" presStyleCnt="2">
        <dgm:presLayoutVars>
          <dgm:bulletEnabled val="1"/>
        </dgm:presLayoutVars>
      </dgm:prSet>
      <dgm:spPr/>
      <dgm:t>
        <a:bodyPr/>
        <a:lstStyle/>
        <a:p>
          <a:endParaRPr lang="fr-FR"/>
        </a:p>
      </dgm:t>
    </dgm:pt>
    <dgm:pt modelId="{CE53DEC3-63E3-49AE-873A-F157E21027D2}" type="pres">
      <dgm:prSet presAssocID="{387EDFB4-2A56-4146-9654-C7640340AE58}" presName="spV" presStyleCnt="0"/>
      <dgm:spPr/>
      <dgm:t>
        <a:bodyPr/>
        <a:lstStyle/>
        <a:p>
          <a:endParaRPr lang="fr-FR"/>
        </a:p>
      </dgm:t>
    </dgm:pt>
    <dgm:pt modelId="{23389B66-4BF3-4D7C-879A-791E34DA4628}" type="pres">
      <dgm:prSet presAssocID="{102D1C86-699E-433F-9F1E-ECB3BACED000}" presName="linNode" presStyleCnt="0"/>
      <dgm:spPr/>
      <dgm:t>
        <a:bodyPr/>
        <a:lstStyle/>
        <a:p>
          <a:endParaRPr lang="fr-FR"/>
        </a:p>
      </dgm:t>
    </dgm:pt>
    <dgm:pt modelId="{7146AE49-54A7-4BCE-B777-5E2A3D4A5FC7}" type="pres">
      <dgm:prSet presAssocID="{102D1C86-699E-433F-9F1E-ECB3BACED000}" presName="parTx" presStyleLbl="revTx" presStyleIdx="1" presStyleCnt="2">
        <dgm:presLayoutVars>
          <dgm:chMax val="1"/>
          <dgm:bulletEnabled val="1"/>
        </dgm:presLayoutVars>
      </dgm:prSet>
      <dgm:spPr/>
      <dgm:t>
        <a:bodyPr/>
        <a:lstStyle/>
        <a:p>
          <a:endParaRPr lang="fr-FR"/>
        </a:p>
      </dgm:t>
    </dgm:pt>
    <dgm:pt modelId="{82673156-6F5F-4A06-BE96-CE01D131B6F9}" type="pres">
      <dgm:prSet presAssocID="{102D1C86-699E-433F-9F1E-ECB3BACED000}" presName="bracket" presStyleLbl="parChTrans1D1" presStyleIdx="1" presStyleCnt="2"/>
      <dgm:spPr/>
      <dgm:t>
        <a:bodyPr/>
        <a:lstStyle/>
        <a:p>
          <a:endParaRPr lang="fr-FR"/>
        </a:p>
      </dgm:t>
    </dgm:pt>
    <dgm:pt modelId="{4057B16A-C505-465F-9D85-0ABEE27B6570}" type="pres">
      <dgm:prSet presAssocID="{102D1C86-699E-433F-9F1E-ECB3BACED000}" presName="spH" presStyleCnt="0"/>
      <dgm:spPr/>
      <dgm:t>
        <a:bodyPr/>
        <a:lstStyle/>
        <a:p>
          <a:endParaRPr lang="fr-FR"/>
        </a:p>
      </dgm:t>
    </dgm:pt>
    <dgm:pt modelId="{6B748B67-6DCD-4513-8D91-83B87B286B8D}" type="pres">
      <dgm:prSet presAssocID="{102D1C86-699E-433F-9F1E-ECB3BACED000}" presName="desTx" presStyleLbl="node1" presStyleIdx="1" presStyleCnt="2">
        <dgm:presLayoutVars>
          <dgm:bulletEnabled val="1"/>
        </dgm:presLayoutVars>
      </dgm:prSet>
      <dgm:spPr/>
      <dgm:t>
        <a:bodyPr/>
        <a:lstStyle/>
        <a:p>
          <a:endParaRPr lang="fr-FR"/>
        </a:p>
      </dgm:t>
    </dgm:pt>
  </dgm:ptLst>
  <dgm:cxnLst>
    <dgm:cxn modelId="{F48A8851-E957-4DD7-BD39-9637FF78451A}" srcId="{4F0538EA-5E45-4A33-8DCE-BFD0ABB72A27}" destId="{6ED4B7E8-4E61-41BE-8267-BFD6AE6BDB3C}" srcOrd="0" destOrd="0" parTransId="{3D3B9E0E-8700-49A8-86A6-308F34352D80}" sibTransId="{387EDFB4-2A56-4146-9654-C7640340AE58}"/>
    <dgm:cxn modelId="{178ED80E-1515-45F4-BFA5-A97C64F68E3A}" srcId="{4F0538EA-5E45-4A33-8DCE-BFD0ABB72A27}" destId="{102D1C86-699E-433F-9F1E-ECB3BACED000}" srcOrd="1" destOrd="0" parTransId="{99EC4A26-0844-4E13-9896-C8BD40628830}" sibTransId="{5203147C-69A7-4D4B-9AA7-959615A368F7}"/>
    <dgm:cxn modelId="{F5CD2799-E00F-4E21-8FD8-2DB25E3F2733}" srcId="{102D1C86-699E-433F-9F1E-ECB3BACED000}" destId="{6A771E5D-262E-4588-957E-1A7D09A8D23F}" srcOrd="2" destOrd="0" parTransId="{F8AE7762-ED65-4B35-9E62-E2BD48FF657C}" sibTransId="{D8A3486B-C229-480A-B4DF-7BDEA880F001}"/>
    <dgm:cxn modelId="{5201C066-2DC4-4628-B07F-7936DBDAE51C}" type="presOf" srcId="{7EEF241E-5A98-4F15-8849-D17321FE5244}" destId="{6B748B67-6DCD-4513-8D91-83B87B286B8D}" srcOrd="0" destOrd="1" presId="urn:diagrams.loki3.com/BracketList+Icon"/>
    <dgm:cxn modelId="{D8189DCB-3BF8-486A-BCD4-0708BC4D90A6}" srcId="{6ED4B7E8-4E61-41BE-8267-BFD6AE6BDB3C}" destId="{2A8FBEDD-EDC4-4E96-B815-259A922B049A}" srcOrd="1" destOrd="0" parTransId="{68913F71-6689-4493-AFEB-9D32B8375AE5}" sibTransId="{F2F21BC7-3305-4C3F-BACA-0C665977A007}"/>
    <dgm:cxn modelId="{3FC7D4C4-4A43-45CB-A1B2-DE1EFD251CEF}" type="presOf" srcId="{0C52FBD6-ADA4-4903-ABE5-CD94A8681BAF}" destId="{8C55F696-7A74-45EA-816A-D34DABA45B0C}" srcOrd="0" destOrd="0" presId="urn:diagrams.loki3.com/BracketList+Icon"/>
    <dgm:cxn modelId="{73C939D0-C2D4-468B-8B9B-0F2C9C9283FA}" srcId="{6ED4B7E8-4E61-41BE-8267-BFD6AE6BDB3C}" destId="{0C52FBD6-ADA4-4903-ABE5-CD94A8681BAF}" srcOrd="0" destOrd="0" parTransId="{7DD180BD-A34E-4C40-ABFF-6826890F5E83}" sibTransId="{1946CB1A-F498-4AA5-897A-11BDD81575F0}"/>
    <dgm:cxn modelId="{67F5817E-6000-4618-B467-5D092EC96ED7}" type="presOf" srcId="{6ED4B7E8-4E61-41BE-8267-BFD6AE6BDB3C}" destId="{C5B3FE2F-F100-4B47-B2B7-4413964321E4}" srcOrd="0" destOrd="0" presId="urn:diagrams.loki3.com/BracketList+Icon"/>
    <dgm:cxn modelId="{11B9222F-B617-4DBA-8E98-BCA119F767C9}" type="presOf" srcId="{7668A89A-7696-49A2-BC59-62E9B455DBC4}" destId="{6B748B67-6DCD-4513-8D91-83B87B286B8D}" srcOrd="0" destOrd="0" presId="urn:diagrams.loki3.com/BracketList+Icon"/>
    <dgm:cxn modelId="{AC27B63C-981E-44D9-8F7B-7D7CD3B18F58}" type="presOf" srcId="{2A8FBEDD-EDC4-4E96-B815-259A922B049A}" destId="{8C55F696-7A74-45EA-816A-D34DABA45B0C}" srcOrd="0" destOrd="1" presId="urn:diagrams.loki3.com/BracketList+Icon"/>
    <dgm:cxn modelId="{9E873F8F-94F0-4E5D-A389-35BE5C604B73}" type="presOf" srcId="{102D1C86-699E-433F-9F1E-ECB3BACED000}" destId="{7146AE49-54A7-4BCE-B777-5E2A3D4A5FC7}" srcOrd="0" destOrd="0" presId="urn:diagrams.loki3.com/BracketList+Icon"/>
    <dgm:cxn modelId="{9AE1637D-BE15-4887-9E0A-5F8E4EC9593D}" srcId="{102D1C86-699E-433F-9F1E-ECB3BACED000}" destId="{61CA81F3-A75B-4250-AFB0-B4C4819D9C66}" srcOrd="3" destOrd="0" parTransId="{39E30E6C-C823-4E01-A4CB-1003505EF254}" sibTransId="{4721A494-048F-4F11-877B-D58C70A3DB58}"/>
    <dgm:cxn modelId="{EC8A15C7-5E04-4865-9CDD-1EF1F3BF8ED7}" type="presOf" srcId="{60A54E4D-ACDA-425A-8334-C72BB9947EE2}" destId="{8C55F696-7A74-45EA-816A-D34DABA45B0C}" srcOrd="0" destOrd="3" presId="urn:diagrams.loki3.com/BracketList+Icon"/>
    <dgm:cxn modelId="{84C85C4F-0B02-488C-8FE7-FF930B8EF5A5}" type="presOf" srcId="{2B436593-9DE2-485E-8621-332F08E383C0}" destId="{8C55F696-7A74-45EA-816A-D34DABA45B0C}" srcOrd="0" destOrd="4" presId="urn:diagrams.loki3.com/BracketList+Icon"/>
    <dgm:cxn modelId="{00DF8023-3B68-42AA-B5DA-611FC631E61C}" type="presOf" srcId="{C4E5EED7-49CF-428D-B0CF-CE5563AF2AB6}" destId="{6B748B67-6DCD-4513-8D91-83B87B286B8D}" srcOrd="0" destOrd="4" presId="urn:diagrams.loki3.com/BracketList+Icon"/>
    <dgm:cxn modelId="{6254035E-B121-4D33-8D43-A6CF84467663}" type="presOf" srcId="{61CA81F3-A75B-4250-AFB0-B4C4819D9C66}" destId="{6B748B67-6DCD-4513-8D91-83B87B286B8D}" srcOrd="0" destOrd="3" presId="urn:diagrams.loki3.com/BracketList+Icon"/>
    <dgm:cxn modelId="{718FDC45-FED8-48DF-B505-59E21D89DC53}" srcId="{6ED4B7E8-4E61-41BE-8267-BFD6AE6BDB3C}" destId="{60A54E4D-ACDA-425A-8334-C72BB9947EE2}" srcOrd="3" destOrd="0" parTransId="{7B0D3696-4EEF-4A23-9A9F-705127691221}" sibTransId="{34B2131C-2556-4EFF-9A99-2B92975E2566}"/>
    <dgm:cxn modelId="{B96BBB25-1855-42B8-A16E-B3AEEDFD677B}" srcId="{6ED4B7E8-4E61-41BE-8267-BFD6AE6BDB3C}" destId="{2B436593-9DE2-485E-8621-332F08E383C0}" srcOrd="4" destOrd="0" parTransId="{B1D886D0-A222-4212-934E-3D849FA5EC78}" sibTransId="{9430B76E-5218-4E43-92ED-CC13F59EE610}"/>
    <dgm:cxn modelId="{F0C60839-5E89-44CE-A1E6-8C1A9607992C}" srcId="{102D1C86-699E-433F-9F1E-ECB3BACED000}" destId="{7668A89A-7696-49A2-BC59-62E9B455DBC4}" srcOrd="0" destOrd="0" parTransId="{1367152F-E447-46D3-B220-D498FB39FA65}" sibTransId="{2353C933-D134-4EE3-A03B-17AB311B91E3}"/>
    <dgm:cxn modelId="{D6D7CF07-CE3F-478D-B242-1D5B5CCA26AD}" type="presOf" srcId="{499607A4-518D-48BE-8E9B-ED79C07FF2F3}" destId="{8C55F696-7A74-45EA-816A-D34DABA45B0C}" srcOrd="0" destOrd="2" presId="urn:diagrams.loki3.com/BracketList+Icon"/>
    <dgm:cxn modelId="{2C17793E-B35B-4411-8012-8D7B2C5D832E}" srcId="{102D1C86-699E-433F-9F1E-ECB3BACED000}" destId="{C4E5EED7-49CF-428D-B0CF-CE5563AF2AB6}" srcOrd="4" destOrd="0" parTransId="{24E97738-9CAF-4112-8078-8E98EFA7F805}" sibTransId="{A1A6547E-F948-4A74-88B6-4CC9DB02360E}"/>
    <dgm:cxn modelId="{0C6A8E4D-EF1E-43E2-8A9D-712D6C598E7C}" srcId="{6ED4B7E8-4E61-41BE-8267-BFD6AE6BDB3C}" destId="{499607A4-518D-48BE-8E9B-ED79C07FF2F3}" srcOrd="2" destOrd="0" parTransId="{4A5F3F51-EF2D-4257-8C66-4122ADCEF261}" sibTransId="{A3E62C7A-203E-425F-B798-8BFEB4BE7205}"/>
    <dgm:cxn modelId="{587F08FA-F369-4A72-BCA7-3CA26D8B2FEB}" srcId="{102D1C86-699E-433F-9F1E-ECB3BACED000}" destId="{7EEF241E-5A98-4F15-8849-D17321FE5244}" srcOrd="1" destOrd="0" parTransId="{4C86E6B1-AD19-4B1D-A50A-8D28F96AE307}" sibTransId="{4737687C-9C0B-4D48-B324-64E2C13636E8}"/>
    <dgm:cxn modelId="{237CE039-2089-4F38-BCEE-32C45D42BF36}" type="presOf" srcId="{4F0538EA-5E45-4A33-8DCE-BFD0ABB72A27}" destId="{52705158-D14C-433B-B603-0B1A0CACC0FC}" srcOrd="0" destOrd="0" presId="urn:diagrams.loki3.com/BracketList+Icon"/>
    <dgm:cxn modelId="{62271F01-3D5C-4DB6-A9AA-99FA1839665C}" type="presOf" srcId="{6A771E5D-262E-4588-957E-1A7D09A8D23F}" destId="{6B748B67-6DCD-4513-8D91-83B87B286B8D}" srcOrd="0" destOrd="2" presId="urn:diagrams.loki3.com/BracketList+Icon"/>
    <dgm:cxn modelId="{3DFBA73A-5E4B-4CC1-B12F-0FA5FC7420E7}" type="presParOf" srcId="{52705158-D14C-433B-B603-0B1A0CACC0FC}" destId="{BD4D0A90-90FD-4D26-BE5B-53A598DE4237}" srcOrd="0" destOrd="0" presId="urn:diagrams.loki3.com/BracketList+Icon"/>
    <dgm:cxn modelId="{775FC6CD-28B8-447A-9B56-85C6AA4D9C2C}" type="presParOf" srcId="{BD4D0A90-90FD-4D26-BE5B-53A598DE4237}" destId="{C5B3FE2F-F100-4B47-B2B7-4413964321E4}" srcOrd="0" destOrd="0" presId="urn:diagrams.loki3.com/BracketList+Icon"/>
    <dgm:cxn modelId="{4C5EA219-2BF8-4443-AEA8-5C0B22E4EB50}" type="presParOf" srcId="{BD4D0A90-90FD-4D26-BE5B-53A598DE4237}" destId="{61C48E65-CA2B-4EE4-8244-09C55DF9FB5E}" srcOrd="1" destOrd="0" presId="urn:diagrams.loki3.com/BracketList+Icon"/>
    <dgm:cxn modelId="{1A2F6B42-17E0-42A7-AD3F-1070B9FE98F6}" type="presParOf" srcId="{BD4D0A90-90FD-4D26-BE5B-53A598DE4237}" destId="{B3D78DDD-4662-45EC-9913-73C762EB796C}" srcOrd="2" destOrd="0" presId="urn:diagrams.loki3.com/BracketList+Icon"/>
    <dgm:cxn modelId="{381FB059-EBD8-487E-9F73-5D3B21DDF0FD}" type="presParOf" srcId="{BD4D0A90-90FD-4D26-BE5B-53A598DE4237}" destId="{8C55F696-7A74-45EA-816A-D34DABA45B0C}" srcOrd="3" destOrd="0" presId="urn:diagrams.loki3.com/BracketList+Icon"/>
    <dgm:cxn modelId="{7B9AEAF7-D657-4B9A-8B26-73D261B5EB4E}" type="presParOf" srcId="{52705158-D14C-433B-B603-0B1A0CACC0FC}" destId="{CE53DEC3-63E3-49AE-873A-F157E21027D2}" srcOrd="1" destOrd="0" presId="urn:diagrams.loki3.com/BracketList+Icon"/>
    <dgm:cxn modelId="{8CBAF921-6E71-47D8-A348-D091A5DB226C}" type="presParOf" srcId="{52705158-D14C-433B-B603-0B1A0CACC0FC}" destId="{23389B66-4BF3-4D7C-879A-791E34DA4628}" srcOrd="2" destOrd="0" presId="urn:diagrams.loki3.com/BracketList+Icon"/>
    <dgm:cxn modelId="{DF089AD2-E490-4FDC-9752-9F73B94920BA}" type="presParOf" srcId="{23389B66-4BF3-4D7C-879A-791E34DA4628}" destId="{7146AE49-54A7-4BCE-B777-5E2A3D4A5FC7}" srcOrd="0" destOrd="0" presId="urn:diagrams.loki3.com/BracketList+Icon"/>
    <dgm:cxn modelId="{CB6FC14D-FF58-47F1-80E2-F76BC7994AA6}" type="presParOf" srcId="{23389B66-4BF3-4D7C-879A-791E34DA4628}" destId="{82673156-6F5F-4A06-BE96-CE01D131B6F9}" srcOrd="1" destOrd="0" presId="urn:diagrams.loki3.com/BracketList+Icon"/>
    <dgm:cxn modelId="{5F9C87FA-F2A1-467A-9770-B252C13C7055}" type="presParOf" srcId="{23389B66-4BF3-4D7C-879A-791E34DA4628}" destId="{4057B16A-C505-465F-9D85-0ABEE27B6570}" srcOrd="2" destOrd="0" presId="urn:diagrams.loki3.com/BracketList+Icon"/>
    <dgm:cxn modelId="{92D01CBE-B30D-4FA6-9611-BFEC103513DF}" type="presParOf" srcId="{23389B66-4BF3-4D7C-879A-791E34DA4628}" destId="{6B748B67-6DCD-4513-8D91-83B87B286B8D}" srcOrd="3" destOrd="0" presId="urn:diagrams.loki3.com/BracketLis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B3FE2F-F100-4B47-B2B7-4413964321E4}">
      <dsp:nvSpPr>
        <dsp:cNvPr id="0" name=""/>
        <dsp:cNvSpPr/>
      </dsp:nvSpPr>
      <dsp:spPr>
        <a:xfrm>
          <a:off x="0" y="258355"/>
          <a:ext cx="1347877" cy="565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fr-FR" sz="1100" b="1" kern="1200" dirty="0" smtClean="0">
              <a:solidFill>
                <a:schemeClr val="accent5">
                  <a:lumMod val="60000"/>
                  <a:lumOff val="40000"/>
                </a:schemeClr>
              </a:solidFill>
              <a:latin typeface="+mn-lt"/>
            </a:rPr>
            <a:t>Par l’EVALUATION</a:t>
          </a:r>
        </a:p>
        <a:p>
          <a:pPr lvl="0" algn="r" defTabSz="488950">
            <a:lnSpc>
              <a:spcPct val="90000"/>
            </a:lnSpc>
            <a:spcBef>
              <a:spcPct val="0"/>
            </a:spcBef>
            <a:spcAft>
              <a:spcPct val="35000"/>
            </a:spcAft>
          </a:pPr>
          <a:r>
            <a:rPr lang="fr-FR" sz="1100" b="1" kern="1200" dirty="0" smtClean="0">
              <a:solidFill>
                <a:schemeClr val="accent5">
                  <a:lumMod val="60000"/>
                  <a:lumOff val="40000"/>
                </a:schemeClr>
              </a:solidFill>
              <a:latin typeface="+mn-lt"/>
            </a:rPr>
            <a:t>Après un parcours de formation</a:t>
          </a:r>
          <a:endParaRPr lang="fr-FR" sz="1100" b="1" kern="1200" dirty="0">
            <a:solidFill>
              <a:schemeClr val="accent5">
                <a:lumMod val="60000"/>
                <a:lumOff val="40000"/>
              </a:schemeClr>
            </a:solidFill>
            <a:latin typeface="+mn-lt"/>
          </a:endParaRPr>
        </a:p>
      </dsp:txBody>
      <dsp:txXfrm>
        <a:off x="0" y="258355"/>
        <a:ext cx="1347877" cy="565736"/>
      </dsp:txXfrm>
    </dsp:sp>
    <dsp:sp modelId="{61C48E65-CA2B-4EE4-8244-09C55DF9FB5E}">
      <dsp:nvSpPr>
        <dsp:cNvPr id="0" name=""/>
        <dsp:cNvSpPr/>
      </dsp:nvSpPr>
      <dsp:spPr>
        <a:xfrm>
          <a:off x="1347877" y="2006"/>
          <a:ext cx="269575" cy="1078434"/>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5F696-7A74-45EA-816A-D34DABA45B0C}">
      <dsp:nvSpPr>
        <dsp:cNvPr id="0" name=""/>
        <dsp:cNvSpPr/>
      </dsp:nvSpPr>
      <dsp:spPr>
        <a:xfrm>
          <a:off x="1725282" y="2006"/>
          <a:ext cx="3666226" cy="1078434"/>
        </a:xfrm>
        <a:prstGeom prst="rect">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just" defTabSz="488950">
            <a:lnSpc>
              <a:spcPct val="90000"/>
            </a:lnSpc>
            <a:spcBef>
              <a:spcPct val="0"/>
            </a:spcBef>
            <a:spcAft>
              <a:spcPct val="15000"/>
            </a:spcAft>
            <a:buChar char="••"/>
          </a:pPr>
          <a:r>
            <a:rPr lang="fr-FR" sz="1100" kern="1200" dirty="0" smtClean="0">
              <a:latin typeface="+mn-lt"/>
            </a:rPr>
            <a:t>Positionnement et évaluation pré-formative du candidat</a:t>
          </a:r>
          <a:endParaRPr lang="fr-FR" sz="1100" kern="1200" dirty="0">
            <a:latin typeface="+mn-lt"/>
          </a:endParaRPr>
        </a:p>
        <a:p>
          <a:pPr marL="57150" lvl="1" indent="-57150" algn="just" defTabSz="488950">
            <a:lnSpc>
              <a:spcPct val="90000"/>
            </a:lnSpc>
            <a:spcBef>
              <a:spcPct val="0"/>
            </a:spcBef>
            <a:spcAft>
              <a:spcPct val="15000"/>
            </a:spcAft>
            <a:buChar char="••"/>
          </a:pPr>
          <a:r>
            <a:rPr lang="fr-FR" sz="1100" kern="1200" dirty="0" smtClean="0">
              <a:latin typeface="+mn-lt"/>
            </a:rPr>
            <a:t>Définition d’un parcours de formation individualisé</a:t>
          </a:r>
          <a:endParaRPr lang="fr-FR" sz="1100" kern="1200" dirty="0">
            <a:latin typeface="+mn-lt"/>
          </a:endParaRPr>
        </a:p>
        <a:p>
          <a:pPr marL="57150" lvl="1" indent="-57150" algn="just" defTabSz="488950">
            <a:lnSpc>
              <a:spcPct val="90000"/>
            </a:lnSpc>
            <a:spcBef>
              <a:spcPct val="0"/>
            </a:spcBef>
            <a:spcAft>
              <a:spcPct val="15000"/>
            </a:spcAft>
            <a:buChar char="••"/>
          </a:pPr>
          <a:r>
            <a:rPr lang="fr-FR" sz="1100" kern="1200" dirty="0" smtClean="0">
              <a:latin typeface="+mn-lt"/>
            </a:rPr>
            <a:t>Evaluation de la maîtrise des compétences en lien avec le référentiel de certification</a:t>
          </a:r>
          <a:endParaRPr lang="fr-FR" sz="1100" kern="1200" dirty="0">
            <a:latin typeface="+mn-lt"/>
          </a:endParaRPr>
        </a:p>
        <a:p>
          <a:pPr marL="57150" lvl="1" indent="-57150" algn="just" defTabSz="488950">
            <a:lnSpc>
              <a:spcPct val="90000"/>
            </a:lnSpc>
            <a:spcBef>
              <a:spcPct val="0"/>
            </a:spcBef>
            <a:spcAft>
              <a:spcPct val="15000"/>
            </a:spcAft>
            <a:buChar char="••"/>
          </a:pPr>
          <a:r>
            <a:rPr lang="fr-FR" sz="1100" kern="1200" dirty="0" smtClean="0">
              <a:latin typeface="+mn-lt"/>
            </a:rPr>
            <a:t>Proposition de validation des acquis par le Jury Technique</a:t>
          </a:r>
          <a:endParaRPr lang="fr-FR" sz="1100" kern="1200" dirty="0">
            <a:latin typeface="+mn-lt"/>
          </a:endParaRPr>
        </a:p>
        <a:p>
          <a:pPr marL="57150" lvl="1" indent="-57150" algn="just" defTabSz="488950">
            <a:lnSpc>
              <a:spcPct val="90000"/>
            </a:lnSpc>
            <a:spcBef>
              <a:spcPct val="0"/>
            </a:spcBef>
            <a:spcAft>
              <a:spcPct val="15000"/>
            </a:spcAft>
            <a:buChar char="••"/>
          </a:pPr>
          <a:r>
            <a:rPr lang="fr-FR" sz="1100" kern="1200" dirty="0" smtClean="0">
              <a:latin typeface="+mn-lt"/>
            </a:rPr>
            <a:t>Décision finale de la Commission de certification</a:t>
          </a:r>
          <a:endParaRPr lang="fr-FR" sz="1100" kern="1200" dirty="0">
            <a:latin typeface="+mn-lt"/>
          </a:endParaRPr>
        </a:p>
      </dsp:txBody>
      <dsp:txXfrm>
        <a:off x="1725282" y="2006"/>
        <a:ext cx="3666226" cy="1078434"/>
      </dsp:txXfrm>
    </dsp:sp>
    <dsp:sp modelId="{7146AE49-54A7-4BCE-B777-5E2A3D4A5FC7}">
      <dsp:nvSpPr>
        <dsp:cNvPr id="0" name=""/>
        <dsp:cNvSpPr/>
      </dsp:nvSpPr>
      <dsp:spPr>
        <a:xfrm>
          <a:off x="0" y="1585445"/>
          <a:ext cx="1347877" cy="8666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88950">
            <a:lnSpc>
              <a:spcPct val="90000"/>
            </a:lnSpc>
            <a:spcBef>
              <a:spcPct val="0"/>
            </a:spcBef>
            <a:spcAft>
              <a:spcPct val="35000"/>
            </a:spcAft>
          </a:pPr>
          <a:r>
            <a:rPr lang="fr-FR" sz="1100" b="1" kern="1200" dirty="0" smtClean="0">
              <a:solidFill>
                <a:schemeClr val="accent5">
                  <a:lumMod val="60000"/>
                  <a:lumOff val="40000"/>
                </a:schemeClr>
              </a:solidFill>
              <a:latin typeface="+mn-lt"/>
            </a:rPr>
            <a:t>Par la VAE</a:t>
          </a:r>
        </a:p>
        <a:p>
          <a:pPr lvl="0" algn="r" defTabSz="488950">
            <a:lnSpc>
              <a:spcPct val="90000"/>
            </a:lnSpc>
            <a:spcBef>
              <a:spcPct val="0"/>
            </a:spcBef>
            <a:spcAft>
              <a:spcPct val="35000"/>
            </a:spcAft>
          </a:pPr>
          <a:r>
            <a:rPr lang="fr-FR" sz="1100" b="1" kern="1200" dirty="0" smtClean="0">
              <a:solidFill>
                <a:schemeClr val="accent5">
                  <a:lumMod val="60000"/>
                  <a:lumOff val="40000"/>
                </a:schemeClr>
              </a:solidFill>
              <a:latin typeface="+mn-lt"/>
            </a:rPr>
            <a:t>La VAE une voie d’accès au CQP au même  titre que la formation </a:t>
          </a:r>
          <a:endParaRPr lang="fr-FR" sz="1100" b="1" kern="1200" dirty="0">
            <a:solidFill>
              <a:schemeClr val="accent5">
                <a:lumMod val="60000"/>
                <a:lumOff val="40000"/>
              </a:schemeClr>
            </a:solidFill>
            <a:latin typeface="+mn-lt"/>
          </a:endParaRPr>
        </a:p>
      </dsp:txBody>
      <dsp:txXfrm>
        <a:off x="0" y="1585445"/>
        <a:ext cx="1347877" cy="866659"/>
      </dsp:txXfrm>
    </dsp:sp>
    <dsp:sp modelId="{82673156-6F5F-4A06-BE96-CE01D131B6F9}">
      <dsp:nvSpPr>
        <dsp:cNvPr id="0" name=""/>
        <dsp:cNvSpPr/>
      </dsp:nvSpPr>
      <dsp:spPr>
        <a:xfrm>
          <a:off x="1347877" y="1097949"/>
          <a:ext cx="269575" cy="1841651"/>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748B67-6DCD-4513-8D91-83B87B286B8D}">
      <dsp:nvSpPr>
        <dsp:cNvPr id="0" name=""/>
        <dsp:cNvSpPr/>
      </dsp:nvSpPr>
      <dsp:spPr>
        <a:xfrm>
          <a:off x="1725282" y="1097949"/>
          <a:ext cx="3666226" cy="1841651"/>
        </a:xfrm>
        <a:prstGeom prst="rect">
          <a:avLst/>
        </a:prstGeom>
        <a:solidFill>
          <a:schemeClr val="accent1">
            <a:lumMod val="40000"/>
            <a:lumOff val="6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just" defTabSz="488950">
            <a:lnSpc>
              <a:spcPct val="90000"/>
            </a:lnSpc>
            <a:spcBef>
              <a:spcPct val="0"/>
            </a:spcBef>
            <a:spcAft>
              <a:spcPct val="15000"/>
            </a:spcAft>
            <a:buChar char="••"/>
          </a:pPr>
          <a:r>
            <a:rPr lang="fr-FR" sz="1100" kern="1200" dirty="0" smtClean="0">
              <a:latin typeface="+mn-lt"/>
            </a:rPr>
            <a:t>Diagnostic de la VAE (recueil des compétences, identification du CQP )</a:t>
          </a:r>
          <a:endParaRPr lang="fr-FR" sz="1100" kern="1200" dirty="0">
            <a:latin typeface="+mn-lt"/>
          </a:endParaRPr>
        </a:p>
        <a:p>
          <a:pPr marL="57150" lvl="1" indent="-57150" algn="just" defTabSz="488950" eaLnBrk="1" latinLnBrk="0">
            <a:lnSpc>
              <a:spcPct val="90000"/>
            </a:lnSpc>
            <a:spcBef>
              <a:spcPct val="0"/>
            </a:spcBef>
            <a:spcAft>
              <a:spcPct val="15000"/>
            </a:spcAft>
            <a:buChar char="••"/>
          </a:pPr>
          <a:r>
            <a:rPr lang="fr-FR" sz="1100" kern="1200" dirty="0" smtClean="0">
              <a:latin typeface="+mn-lt"/>
            </a:rPr>
            <a:t>Dépôt de la demande de recevabilité auprès de l’organisme certificateur</a:t>
          </a:r>
          <a:endParaRPr lang="fr-FR" sz="1100" kern="1200" dirty="0">
            <a:latin typeface="+mn-lt"/>
          </a:endParaRPr>
        </a:p>
        <a:p>
          <a:pPr marL="57150" lvl="1" indent="-57150" algn="just" defTabSz="488950" eaLnBrk="1" latinLnBrk="0">
            <a:lnSpc>
              <a:spcPct val="90000"/>
            </a:lnSpc>
            <a:spcBef>
              <a:spcPct val="0"/>
            </a:spcBef>
            <a:spcAft>
              <a:spcPct val="15000"/>
            </a:spcAft>
            <a:buChar char="••"/>
          </a:pPr>
          <a:r>
            <a:rPr lang="fr-FR" sz="1100" kern="1200" dirty="0" smtClean="0">
              <a:latin typeface="+mn-lt"/>
            </a:rPr>
            <a:t>Constitution du dossier de VAE : présentation de l’expérience et des compétences professionnelles acquises par l’activité exercée / Accompagnement possible du candidat de 24 heures</a:t>
          </a:r>
          <a:endParaRPr lang="fr-FR" sz="1100" kern="1200" dirty="0">
            <a:latin typeface="+mn-lt"/>
          </a:endParaRPr>
        </a:p>
        <a:p>
          <a:pPr marL="57150" lvl="1" indent="-57150" algn="just" defTabSz="488950" eaLnBrk="1" latinLnBrk="0">
            <a:lnSpc>
              <a:spcPct val="90000"/>
            </a:lnSpc>
            <a:spcBef>
              <a:spcPct val="0"/>
            </a:spcBef>
            <a:spcAft>
              <a:spcPct val="15000"/>
            </a:spcAft>
            <a:buChar char="••"/>
          </a:pPr>
          <a:r>
            <a:rPr lang="fr-FR" sz="1100" kern="1200" dirty="0" smtClean="0">
              <a:latin typeface="+mn-lt"/>
            </a:rPr>
            <a:t>Evaluation du dossier et /ou entretien avec le Jury CQP au regard du référentiel de certification</a:t>
          </a:r>
          <a:endParaRPr lang="fr-FR" sz="1100" kern="1200" dirty="0">
            <a:latin typeface="+mn-lt"/>
          </a:endParaRPr>
        </a:p>
        <a:p>
          <a:pPr marL="57150" lvl="1" indent="-57150" algn="just" defTabSz="488950">
            <a:lnSpc>
              <a:spcPct val="90000"/>
            </a:lnSpc>
            <a:spcBef>
              <a:spcPct val="0"/>
            </a:spcBef>
            <a:spcAft>
              <a:spcPct val="15000"/>
            </a:spcAft>
            <a:buChar char="••"/>
          </a:pPr>
          <a:r>
            <a:rPr lang="fr-FR" sz="1100" kern="1200" dirty="0" smtClean="0">
              <a:latin typeface="+mn-lt"/>
            </a:rPr>
            <a:t>Décision finale de la Commission de certification</a:t>
          </a:r>
          <a:endParaRPr lang="fr-FR" sz="1100" kern="1200" dirty="0">
            <a:latin typeface="+mn-lt"/>
          </a:endParaRPr>
        </a:p>
      </dsp:txBody>
      <dsp:txXfrm>
        <a:off x="1725282" y="1097949"/>
        <a:ext cx="3666226" cy="1841651"/>
      </dsp:txXfrm>
    </dsp:sp>
  </dsp:spTree>
</dsp:drawing>
</file>

<file path=word/diagrams/layout1.xml><?xml version="1.0" encoding="utf-8"?>
<dgm:layoutDef xmlns:dgm="http://schemas.openxmlformats.org/drawingml/2006/diagram" xmlns:a="http://schemas.openxmlformats.org/drawingml/2006/main" uniqueId="urn:diagrams.loki3.com/BracketList+Icon">
  <dgm:title val="Liste verticale à crochets"/>
  <dgm:desc val="Permet d’afficher des blocs d’informations groupés. Adapté à de grandes quantités de texte Niveau 2."/>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B226-BD08-4C5A-ADBF-B0348BC2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7273</Words>
  <Characters>40004</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DELGOVE</dc:creator>
  <cp:lastModifiedBy>SEGUE</cp:lastModifiedBy>
  <cp:revision>2</cp:revision>
  <cp:lastPrinted>2016-01-08T17:18:00Z</cp:lastPrinted>
  <dcterms:created xsi:type="dcterms:W3CDTF">2016-01-08T17:22:00Z</dcterms:created>
  <dcterms:modified xsi:type="dcterms:W3CDTF">2016-01-08T17:22:00Z</dcterms:modified>
</cp:coreProperties>
</file>